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EF97" w14:textId="7ADD5F40" w:rsidR="00D042B8" w:rsidRPr="00BB0E36" w:rsidRDefault="00F30DAD" w:rsidP="00D042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Civitanova Marche</w:t>
      </w:r>
      <w:r w:rsidR="00053EAB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Mc</w:t>
      </w:r>
      <w:r w:rsidR="00D042B8">
        <w:rPr>
          <w:rFonts w:ascii="Arial" w:hAnsi="Arial" w:cs="Arial"/>
          <w:sz w:val="22"/>
          <w:szCs w:val="22"/>
        </w:rPr>
        <w:t>)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A332B7">
        <w:rPr>
          <w:rFonts w:ascii="Arial" w:hAnsi="Arial" w:cs="Arial"/>
          <w:sz w:val="22"/>
          <w:szCs w:val="22"/>
        </w:rPr>
        <w:t>22</w:t>
      </w:r>
      <w:r w:rsidR="00477495">
        <w:rPr>
          <w:rFonts w:ascii="Arial" w:hAnsi="Arial" w:cs="Arial"/>
          <w:sz w:val="22"/>
          <w:szCs w:val="22"/>
        </w:rPr>
        <w:t xml:space="preserve"> novembre</w:t>
      </w:r>
      <w:r w:rsidR="00851020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2</w:t>
      </w:r>
      <w:r w:rsidR="00D042B8" w:rsidRPr="00BB0E36">
        <w:rPr>
          <w:rFonts w:ascii="Arial" w:hAnsi="Arial" w:cs="Arial"/>
          <w:sz w:val="22"/>
          <w:szCs w:val="22"/>
        </w:rPr>
        <w:t>01</w:t>
      </w:r>
      <w:r w:rsidR="00851020">
        <w:rPr>
          <w:rFonts w:ascii="Arial" w:hAnsi="Arial" w:cs="Arial"/>
          <w:sz w:val="22"/>
          <w:szCs w:val="22"/>
        </w:rPr>
        <w:t>9</w:t>
      </w:r>
    </w:p>
    <w:p w14:paraId="02B3430F" w14:textId="53EE1965"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8F2318">
        <w:rPr>
          <w:rFonts w:ascii="Arial" w:hAnsi="Arial" w:cs="Arial"/>
          <w:b/>
          <w:bCs/>
          <w:sz w:val="22"/>
          <w:szCs w:val="22"/>
          <w:u w:val="single"/>
        </w:rPr>
        <w:t>25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201</w:t>
      </w:r>
      <w:r w:rsidR="00851020">
        <w:rPr>
          <w:rFonts w:ascii="Arial" w:hAnsi="Arial" w:cs="Arial"/>
          <w:b/>
          <w:bCs/>
          <w:sz w:val="22"/>
          <w:szCs w:val="22"/>
          <w:u w:val="single"/>
        </w:rPr>
        <w:t>9</w:t>
      </w:r>
    </w:p>
    <w:p w14:paraId="322049B4" w14:textId="77777777" w:rsidR="00851020" w:rsidRDefault="00851020" w:rsidP="008C4A3C">
      <w:pPr>
        <w:spacing w:line="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B5BD08C" w14:textId="77777777" w:rsidR="006D3218" w:rsidRDefault="006D3218" w:rsidP="006D3218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6D3218">
        <w:rPr>
          <w:rFonts w:ascii="Arial" w:hAnsi="Arial" w:cs="Arial"/>
          <w:b/>
          <w:sz w:val="32"/>
          <w:szCs w:val="32"/>
        </w:rPr>
        <w:t xml:space="preserve">Approvata la terza trimestrale 2019: </w:t>
      </w:r>
    </w:p>
    <w:p w14:paraId="09685B64" w14:textId="23AC12D9" w:rsidR="008F2318" w:rsidRPr="006D3218" w:rsidRDefault="006D3218" w:rsidP="006D3218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6D3218">
        <w:rPr>
          <w:rFonts w:ascii="Arial" w:hAnsi="Arial" w:cs="Arial"/>
          <w:b/>
          <w:sz w:val="32"/>
          <w:szCs w:val="32"/>
        </w:rPr>
        <w:t>sfondata quota 1 mld di euro di mezzi amministrati</w:t>
      </w:r>
    </w:p>
    <w:p w14:paraId="7F53DAC9" w14:textId="10985789" w:rsidR="00BE5EA1" w:rsidRPr="00BE5EA1" w:rsidRDefault="00BE5EA1" w:rsidP="00BE5EA1">
      <w:pPr>
        <w:spacing w:line="0" w:lineRule="atLeast"/>
        <w:jc w:val="center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In merito </w:t>
      </w:r>
      <w:r w:rsidRPr="00BE5EA1">
        <w:rPr>
          <w:rFonts w:ascii="Arial" w:hAnsi="Arial" w:cs="Arial"/>
          <w:bCs/>
          <w:i/>
          <w:iCs/>
          <w:sz w:val="22"/>
          <w:szCs w:val="22"/>
        </w:rPr>
        <w:t>alla gestione della delicata fase post fusi</w:t>
      </w:r>
      <w:r>
        <w:rPr>
          <w:rFonts w:ascii="Arial" w:hAnsi="Arial" w:cs="Arial"/>
          <w:bCs/>
          <w:i/>
          <w:iCs/>
          <w:sz w:val="22"/>
          <w:szCs w:val="22"/>
        </w:rPr>
        <w:t>o</w:t>
      </w:r>
      <w:r w:rsidRPr="00BE5EA1">
        <w:rPr>
          <w:rFonts w:ascii="Arial" w:hAnsi="Arial" w:cs="Arial"/>
          <w:bCs/>
          <w:i/>
          <w:iCs/>
          <w:sz w:val="22"/>
          <w:szCs w:val="22"/>
        </w:rPr>
        <w:t>ne per incorporazione della Banca di Suasa</w:t>
      </w:r>
      <w:r>
        <w:rPr>
          <w:rFonts w:ascii="Arial" w:hAnsi="Arial" w:cs="Arial"/>
          <w:bCs/>
          <w:i/>
          <w:iCs/>
          <w:sz w:val="22"/>
          <w:szCs w:val="22"/>
        </w:rPr>
        <w:t>,</w:t>
      </w:r>
      <w:r w:rsidRPr="00BE5EA1">
        <w:rPr>
          <w:rFonts w:ascii="Arial" w:hAnsi="Arial" w:cs="Arial"/>
          <w:bCs/>
          <w:i/>
          <w:iCs/>
          <w:sz w:val="22"/>
          <w:szCs w:val="22"/>
        </w:rPr>
        <w:t xml:space="preserve"> con la terza trimestrale 2019 questa fase si può considerare pienamente assorbita dall’Istituto di Credito e interamente spesata all'interno dell'esercizio corrente</w:t>
      </w:r>
    </w:p>
    <w:p w14:paraId="6B880720" w14:textId="77777777" w:rsidR="006D3218" w:rsidRDefault="006D3218" w:rsidP="008F2318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171E0BBC" w14:textId="54794BE9" w:rsidR="00106032" w:rsidRDefault="006D3218" w:rsidP="00106032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Taglia il traguardo del </w:t>
      </w:r>
      <w:r w:rsidRPr="006D3218">
        <w:rPr>
          <w:rFonts w:ascii="Arial" w:hAnsi="Arial" w:cs="Arial"/>
          <w:b/>
          <w:sz w:val="22"/>
          <w:szCs w:val="22"/>
          <w:u w:val="single"/>
        </w:rPr>
        <w:t>miliardo di euro</w:t>
      </w:r>
      <w:r>
        <w:rPr>
          <w:rFonts w:ascii="Arial" w:hAnsi="Arial" w:cs="Arial"/>
          <w:bCs/>
          <w:sz w:val="22"/>
          <w:szCs w:val="22"/>
        </w:rPr>
        <w:t>, impensabile fino a qualche tempo fa, l’ammontare dei mezzi amministrati dal Banco Marchigiano.</w:t>
      </w:r>
      <w:r w:rsidR="00106032">
        <w:rPr>
          <w:rFonts w:ascii="Arial" w:hAnsi="Arial" w:cs="Arial"/>
          <w:bCs/>
          <w:sz w:val="22"/>
          <w:szCs w:val="22"/>
        </w:rPr>
        <w:t xml:space="preserve"> A testimonianza concreta della forte </w:t>
      </w:r>
      <w:r w:rsidR="00106032" w:rsidRPr="00106032">
        <w:rPr>
          <w:rFonts w:ascii="Arial" w:hAnsi="Arial" w:cs="Arial"/>
          <w:b/>
          <w:sz w:val="22"/>
          <w:szCs w:val="22"/>
          <w:u w:val="single"/>
        </w:rPr>
        <w:t>espansione commerciale</w:t>
      </w:r>
      <w:r w:rsidR="00106032" w:rsidRPr="008F2318">
        <w:rPr>
          <w:rFonts w:ascii="Arial" w:hAnsi="Arial" w:cs="Arial"/>
          <w:bCs/>
          <w:sz w:val="22"/>
          <w:szCs w:val="22"/>
        </w:rPr>
        <w:t xml:space="preserve"> </w:t>
      </w:r>
      <w:r w:rsidR="00106032">
        <w:rPr>
          <w:rFonts w:ascii="Arial" w:hAnsi="Arial" w:cs="Arial"/>
          <w:bCs/>
          <w:sz w:val="22"/>
          <w:szCs w:val="22"/>
        </w:rPr>
        <w:t xml:space="preserve">che il Banco sta producendo in questi mesi. </w:t>
      </w:r>
    </w:p>
    <w:p w14:paraId="7376134A" w14:textId="08F10086" w:rsidR="006D3218" w:rsidRDefault="00106032" w:rsidP="008F2318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 q</w:t>
      </w:r>
      <w:r w:rsidR="006D3218">
        <w:rPr>
          <w:rFonts w:ascii="Arial" w:hAnsi="Arial" w:cs="Arial"/>
          <w:bCs/>
          <w:sz w:val="22"/>
          <w:szCs w:val="22"/>
        </w:rPr>
        <w:t>uesto</w:t>
      </w:r>
      <w:r>
        <w:rPr>
          <w:rFonts w:ascii="Arial" w:hAnsi="Arial" w:cs="Arial"/>
          <w:bCs/>
          <w:sz w:val="22"/>
          <w:szCs w:val="22"/>
        </w:rPr>
        <w:t xml:space="preserve"> non è</w:t>
      </w:r>
      <w:r w:rsidR="00A332B7">
        <w:rPr>
          <w:rFonts w:ascii="Arial" w:hAnsi="Arial" w:cs="Arial"/>
          <w:bCs/>
          <w:sz w:val="22"/>
          <w:szCs w:val="22"/>
        </w:rPr>
        <w:t xml:space="preserve"> che</w:t>
      </w:r>
      <w:r w:rsidR="00B653FB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6D3218">
        <w:rPr>
          <w:rFonts w:ascii="Arial" w:hAnsi="Arial" w:cs="Arial"/>
          <w:bCs/>
          <w:sz w:val="22"/>
          <w:szCs w:val="22"/>
        </w:rPr>
        <w:t>uno dei dati di grande rilievo evidenziati dalla terza trimestrale 2019 proposta dal Direttore Generale</w:t>
      </w:r>
      <w:r>
        <w:rPr>
          <w:rFonts w:ascii="Arial" w:hAnsi="Arial" w:cs="Arial"/>
          <w:bCs/>
          <w:sz w:val="22"/>
          <w:szCs w:val="22"/>
        </w:rPr>
        <w:t xml:space="preserve"> Marco Moreschi</w:t>
      </w:r>
      <w:r w:rsidR="006D3218">
        <w:rPr>
          <w:rFonts w:ascii="Arial" w:hAnsi="Arial" w:cs="Arial"/>
          <w:bCs/>
          <w:sz w:val="22"/>
          <w:szCs w:val="22"/>
        </w:rPr>
        <w:t xml:space="preserve"> e approvata nei giorni scorsi dal Consiglio di Amministrazione guidato dal Presidente Sandro Palombini. </w:t>
      </w:r>
    </w:p>
    <w:p w14:paraId="76A5A7F6" w14:textId="75FFE04B" w:rsidR="006D3218" w:rsidRDefault="006D3218" w:rsidP="008F2318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 altri indicatori, dicevamo, hanno fatto registrare risultati di grande importanza per l’Istituto di Credito nato poco meno di un anno fa, nel dicembre 2018, e che si sta sempre più imponendo nel panorama come Istituto di credito di riferimento regionale. </w:t>
      </w:r>
    </w:p>
    <w:p w14:paraId="0D50B359" w14:textId="4AF6E123" w:rsidR="008F2318" w:rsidRDefault="006D3218" w:rsidP="008F2318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Su tutti spicca </w:t>
      </w:r>
      <w:r w:rsidR="00106032">
        <w:rPr>
          <w:rFonts w:ascii="Arial" w:hAnsi="Arial" w:cs="Arial"/>
          <w:bCs/>
          <w:sz w:val="22"/>
          <w:szCs w:val="22"/>
        </w:rPr>
        <w:t xml:space="preserve">il </w:t>
      </w:r>
      <w:r w:rsidR="00106032" w:rsidRPr="00106032">
        <w:rPr>
          <w:rFonts w:ascii="Arial" w:hAnsi="Arial" w:cs="Arial"/>
          <w:b/>
          <w:sz w:val="22"/>
          <w:szCs w:val="22"/>
          <w:u w:val="single"/>
        </w:rPr>
        <w:t>più 28,3%</w:t>
      </w:r>
      <w:r w:rsidR="00106032">
        <w:rPr>
          <w:rFonts w:ascii="Arial" w:hAnsi="Arial" w:cs="Arial"/>
          <w:bCs/>
          <w:sz w:val="22"/>
          <w:szCs w:val="22"/>
        </w:rPr>
        <w:t xml:space="preserve"> del </w:t>
      </w:r>
      <w:r w:rsidR="00106032" w:rsidRPr="008F2318">
        <w:rPr>
          <w:rFonts w:ascii="Arial" w:hAnsi="Arial" w:cs="Arial"/>
          <w:b/>
          <w:sz w:val="22"/>
          <w:szCs w:val="22"/>
          <w:u w:val="single"/>
        </w:rPr>
        <w:t>comparto gestito e</w:t>
      </w:r>
      <w:r w:rsidR="00106032" w:rsidRPr="008F2318">
        <w:rPr>
          <w:rFonts w:ascii="Arial" w:hAnsi="Arial" w:cs="Arial"/>
          <w:bCs/>
          <w:sz w:val="22"/>
          <w:szCs w:val="22"/>
        </w:rPr>
        <w:t xml:space="preserve"> </w:t>
      </w:r>
      <w:r w:rsidR="00106032" w:rsidRPr="008F2318">
        <w:rPr>
          <w:rFonts w:ascii="Arial" w:hAnsi="Arial" w:cs="Arial"/>
          <w:b/>
          <w:sz w:val="22"/>
          <w:szCs w:val="22"/>
          <w:u w:val="single"/>
        </w:rPr>
        <w:t>assicurativo</w:t>
      </w:r>
      <w:r w:rsidR="00106032" w:rsidRPr="00106032">
        <w:rPr>
          <w:rFonts w:ascii="Arial" w:hAnsi="Arial" w:cs="Arial"/>
          <w:bCs/>
          <w:sz w:val="22"/>
          <w:szCs w:val="22"/>
        </w:rPr>
        <w:t>, “una performance davvero importante”, evidenzia il DG Moreschi.</w:t>
      </w:r>
      <w:r w:rsidR="00106032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14:paraId="381EEF19" w14:textId="493E9971" w:rsidR="006D3218" w:rsidRDefault="00106032" w:rsidP="008F2318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Così come </w:t>
      </w:r>
      <w:r>
        <w:rPr>
          <w:rFonts w:ascii="Arial" w:hAnsi="Arial" w:cs="Arial"/>
          <w:b/>
          <w:sz w:val="22"/>
          <w:szCs w:val="22"/>
          <w:u w:val="single"/>
        </w:rPr>
        <w:t xml:space="preserve">l’eccellente </w:t>
      </w:r>
      <w:r w:rsidRPr="008F2318">
        <w:rPr>
          <w:rFonts w:ascii="Arial" w:hAnsi="Arial" w:cs="Arial"/>
          <w:b/>
          <w:sz w:val="22"/>
          <w:szCs w:val="22"/>
          <w:u w:val="single"/>
        </w:rPr>
        <w:t>profilo di liquidità</w:t>
      </w:r>
      <w:r w:rsidRPr="008F2318">
        <w:rPr>
          <w:rFonts w:ascii="Arial" w:hAnsi="Arial" w:cs="Arial"/>
          <w:bCs/>
          <w:sz w:val="22"/>
          <w:szCs w:val="22"/>
        </w:rPr>
        <w:t xml:space="preserve"> con </w:t>
      </w:r>
      <w:r>
        <w:rPr>
          <w:rFonts w:ascii="Arial" w:hAnsi="Arial" w:cs="Arial"/>
          <w:bCs/>
          <w:sz w:val="22"/>
          <w:szCs w:val="22"/>
        </w:rPr>
        <w:t>l’</w:t>
      </w:r>
      <w:r w:rsidRPr="008F2318">
        <w:rPr>
          <w:rFonts w:ascii="Arial" w:hAnsi="Arial" w:cs="Arial"/>
          <w:bCs/>
          <w:sz w:val="22"/>
          <w:szCs w:val="22"/>
        </w:rPr>
        <w:t xml:space="preserve">indicatore </w:t>
      </w:r>
      <w:r>
        <w:rPr>
          <w:rFonts w:ascii="Arial" w:hAnsi="Arial" w:cs="Arial"/>
          <w:bCs/>
          <w:sz w:val="22"/>
          <w:szCs w:val="22"/>
        </w:rPr>
        <w:t xml:space="preserve">degli </w:t>
      </w:r>
      <w:r w:rsidRPr="008F2318">
        <w:rPr>
          <w:rFonts w:ascii="Arial" w:hAnsi="Arial" w:cs="Arial"/>
          <w:bCs/>
          <w:sz w:val="22"/>
          <w:szCs w:val="22"/>
        </w:rPr>
        <w:t xml:space="preserve">impieghi su raccolta </w:t>
      </w:r>
      <w:r>
        <w:rPr>
          <w:rFonts w:ascii="Arial" w:hAnsi="Arial" w:cs="Arial"/>
          <w:bCs/>
          <w:sz w:val="22"/>
          <w:szCs w:val="22"/>
        </w:rPr>
        <w:t xml:space="preserve">che si attesta </w:t>
      </w:r>
      <w:r w:rsidRPr="008F2318">
        <w:rPr>
          <w:rFonts w:ascii="Arial" w:hAnsi="Arial" w:cs="Arial"/>
          <w:bCs/>
          <w:sz w:val="22"/>
          <w:szCs w:val="22"/>
        </w:rPr>
        <w:t>al 73%</w:t>
      </w:r>
      <w:r>
        <w:rPr>
          <w:rFonts w:ascii="Arial" w:hAnsi="Arial" w:cs="Arial"/>
          <w:bCs/>
          <w:sz w:val="22"/>
          <w:szCs w:val="22"/>
        </w:rPr>
        <w:t xml:space="preserve"> mentre gli </w:t>
      </w:r>
      <w:r w:rsidRPr="008F2318">
        <w:rPr>
          <w:rFonts w:ascii="Arial" w:hAnsi="Arial" w:cs="Arial"/>
          <w:bCs/>
          <w:sz w:val="22"/>
          <w:szCs w:val="22"/>
        </w:rPr>
        <w:t xml:space="preserve">indicatori patrimoniali </w:t>
      </w:r>
      <w:r>
        <w:rPr>
          <w:rFonts w:ascii="Arial" w:hAnsi="Arial" w:cs="Arial"/>
          <w:bCs/>
          <w:sz w:val="22"/>
          <w:szCs w:val="22"/>
        </w:rPr>
        <w:t xml:space="preserve">sono </w:t>
      </w:r>
      <w:r w:rsidRPr="008F2318">
        <w:rPr>
          <w:rFonts w:ascii="Arial" w:hAnsi="Arial" w:cs="Arial"/>
          <w:bCs/>
          <w:sz w:val="22"/>
          <w:szCs w:val="22"/>
        </w:rPr>
        <w:t>in crescita di 300 bps</w:t>
      </w:r>
      <w:r>
        <w:rPr>
          <w:rFonts w:ascii="Arial" w:hAnsi="Arial" w:cs="Arial"/>
          <w:bCs/>
          <w:sz w:val="22"/>
          <w:szCs w:val="22"/>
        </w:rPr>
        <w:t>.</w:t>
      </w:r>
    </w:p>
    <w:p w14:paraId="305EB1FF" w14:textId="77777777" w:rsidR="00106032" w:rsidRDefault="00106032" w:rsidP="008F2318">
      <w:pPr>
        <w:spacing w:line="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L’</w:t>
      </w:r>
      <w:r w:rsidRPr="00106032">
        <w:rPr>
          <w:rFonts w:ascii="Arial" w:hAnsi="Arial" w:cs="Arial"/>
          <w:b/>
          <w:sz w:val="22"/>
          <w:szCs w:val="22"/>
          <w:u w:val="single"/>
        </w:rPr>
        <w:t xml:space="preserve">attività caratteristica </w:t>
      </w:r>
      <w:r>
        <w:rPr>
          <w:rFonts w:ascii="Arial" w:hAnsi="Arial" w:cs="Arial"/>
          <w:bCs/>
          <w:sz w:val="22"/>
          <w:szCs w:val="22"/>
        </w:rPr>
        <w:t xml:space="preserve">fa registrare una crescita del </w:t>
      </w:r>
      <w:r w:rsidRPr="00106032">
        <w:rPr>
          <w:rFonts w:ascii="Arial" w:hAnsi="Arial" w:cs="Arial"/>
          <w:b/>
          <w:sz w:val="22"/>
          <w:szCs w:val="22"/>
          <w:u w:val="single"/>
        </w:rPr>
        <w:t>10%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01915367" w14:textId="5FE89FEE" w:rsidR="00106032" w:rsidRDefault="00106032" w:rsidP="00106032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 w:rsidRPr="00106032">
        <w:rPr>
          <w:rFonts w:ascii="Arial" w:hAnsi="Arial" w:cs="Arial"/>
          <w:bCs/>
          <w:sz w:val="22"/>
          <w:szCs w:val="22"/>
        </w:rPr>
        <w:t xml:space="preserve">Molto importanti </w:t>
      </w:r>
      <w:r>
        <w:rPr>
          <w:rFonts w:ascii="Arial" w:hAnsi="Arial" w:cs="Arial"/>
          <w:bCs/>
          <w:sz w:val="22"/>
          <w:szCs w:val="22"/>
        </w:rPr>
        <w:t xml:space="preserve">gli interventi che il Banco Marchigiano sta portando avanti sul tema dell’alleggerimento dei crediti inesigibili con il livello degli npl (no performing loans) arrivato all’11% dopo la concretizzazione di </w:t>
      </w:r>
      <w:r w:rsidRPr="008F2318">
        <w:rPr>
          <w:rFonts w:ascii="Arial" w:hAnsi="Arial" w:cs="Arial"/>
          <w:bCs/>
          <w:sz w:val="22"/>
          <w:szCs w:val="22"/>
        </w:rPr>
        <w:t xml:space="preserve">una prima operazione di cessione da </w:t>
      </w:r>
      <w:r w:rsidRPr="008F2318">
        <w:rPr>
          <w:rFonts w:ascii="Arial" w:hAnsi="Arial" w:cs="Arial"/>
          <w:b/>
          <w:sz w:val="22"/>
          <w:szCs w:val="22"/>
          <w:u w:val="single"/>
        </w:rPr>
        <w:t>oltre 21 mln euro</w:t>
      </w:r>
      <w:r>
        <w:rPr>
          <w:rFonts w:ascii="Arial" w:hAnsi="Arial" w:cs="Arial"/>
          <w:bCs/>
          <w:sz w:val="22"/>
          <w:szCs w:val="22"/>
        </w:rPr>
        <w:t xml:space="preserve"> mentre è in </w:t>
      </w:r>
      <w:r w:rsidRPr="008F2318">
        <w:rPr>
          <w:rFonts w:ascii="Arial" w:hAnsi="Arial" w:cs="Arial"/>
          <w:bCs/>
          <w:sz w:val="22"/>
          <w:szCs w:val="22"/>
        </w:rPr>
        <w:t xml:space="preserve">lavorazione una seconda </w:t>
      </w:r>
      <w:r>
        <w:rPr>
          <w:rFonts w:ascii="Arial" w:hAnsi="Arial" w:cs="Arial"/>
          <w:bCs/>
          <w:sz w:val="22"/>
          <w:szCs w:val="22"/>
        </w:rPr>
        <w:t xml:space="preserve">cessione </w:t>
      </w:r>
      <w:r w:rsidRPr="008F2318">
        <w:rPr>
          <w:rFonts w:ascii="Arial" w:hAnsi="Arial" w:cs="Arial"/>
          <w:bCs/>
          <w:sz w:val="22"/>
          <w:szCs w:val="22"/>
        </w:rPr>
        <w:t>che porterà l'indice presumibilmente al 10%</w:t>
      </w:r>
      <w:r>
        <w:rPr>
          <w:rFonts w:ascii="Arial" w:hAnsi="Arial" w:cs="Arial"/>
          <w:bCs/>
          <w:sz w:val="22"/>
          <w:szCs w:val="22"/>
        </w:rPr>
        <w:t>.</w:t>
      </w:r>
    </w:p>
    <w:p w14:paraId="6E4B4AA4" w14:textId="20ADD3FF" w:rsidR="00106032" w:rsidRDefault="00106032" w:rsidP="00106032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</w:t>
      </w:r>
      <w:r w:rsidRPr="00106032">
        <w:rPr>
          <w:rFonts w:ascii="Arial" w:hAnsi="Arial" w:cs="Arial"/>
          <w:b/>
          <w:sz w:val="22"/>
          <w:szCs w:val="22"/>
          <w:u w:val="single"/>
        </w:rPr>
        <w:t>Texas ratio</w:t>
      </w:r>
      <w:r w:rsidRPr="008F2318">
        <w:rPr>
          <w:rFonts w:ascii="Arial" w:hAnsi="Arial" w:cs="Arial"/>
          <w:bCs/>
          <w:sz w:val="22"/>
          <w:szCs w:val="22"/>
        </w:rPr>
        <w:t xml:space="preserve"> </w:t>
      </w:r>
      <w:r w:rsidR="00B653FB" w:rsidRPr="00A332B7">
        <w:rPr>
          <w:rFonts w:ascii="Arial" w:hAnsi="Arial" w:cs="Arial"/>
          <w:bCs/>
          <w:sz w:val="22"/>
          <w:szCs w:val="22"/>
        </w:rPr>
        <w:t xml:space="preserve">migliora </w:t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8F2318">
        <w:rPr>
          <w:rFonts w:ascii="Arial" w:hAnsi="Arial" w:cs="Arial"/>
          <w:bCs/>
          <w:sz w:val="22"/>
          <w:szCs w:val="22"/>
        </w:rPr>
        <w:t>oltre 8 punti percentuali e si attesta al 70%.</w:t>
      </w:r>
    </w:p>
    <w:p w14:paraId="7A4C5156" w14:textId="3DE3115A" w:rsidR="00106032" w:rsidRDefault="00BE5EA1" w:rsidP="00106032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grande importanza sottolineare come continua l’eccellente trend del Banco che riesce a miscelare sviluppo e crescita con l’ottimizzazione dei costi di gestione e operativi, con le </w:t>
      </w:r>
      <w:r w:rsidRPr="00BE5EA1">
        <w:rPr>
          <w:rFonts w:ascii="Arial" w:hAnsi="Arial" w:cs="Arial"/>
          <w:b/>
          <w:sz w:val="22"/>
          <w:szCs w:val="22"/>
          <w:u w:val="single"/>
        </w:rPr>
        <w:t>spese amministrative</w:t>
      </w:r>
      <w:r>
        <w:rPr>
          <w:rFonts w:ascii="Arial" w:hAnsi="Arial" w:cs="Arial"/>
          <w:bCs/>
          <w:sz w:val="22"/>
          <w:szCs w:val="22"/>
        </w:rPr>
        <w:t xml:space="preserve"> scese nel trimestre giugno-settembre del </w:t>
      </w:r>
      <w:r w:rsidRPr="00BE5EA1">
        <w:rPr>
          <w:rFonts w:ascii="Arial" w:hAnsi="Arial" w:cs="Arial"/>
          <w:b/>
          <w:sz w:val="22"/>
          <w:szCs w:val="22"/>
          <w:u w:val="single"/>
        </w:rPr>
        <w:t>10%</w:t>
      </w:r>
      <w:r>
        <w:rPr>
          <w:rFonts w:ascii="Arial" w:hAnsi="Arial" w:cs="Arial"/>
          <w:bCs/>
          <w:sz w:val="22"/>
          <w:szCs w:val="22"/>
        </w:rPr>
        <w:t xml:space="preserve"> e il totale dei </w:t>
      </w:r>
      <w:r w:rsidRPr="00BE5EA1">
        <w:rPr>
          <w:rFonts w:ascii="Arial" w:hAnsi="Arial" w:cs="Arial"/>
          <w:b/>
          <w:sz w:val="22"/>
          <w:szCs w:val="22"/>
          <w:u w:val="single"/>
        </w:rPr>
        <w:t>costi operativi</w:t>
      </w:r>
      <w:r>
        <w:rPr>
          <w:rFonts w:ascii="Arial" w:hAnsi="Arial" w:cs="Arial"/>
          <w:bCs/>
          <w:sz w:val="22"/>
          <w:szCs w:val="22"/>
        </w:rPr>
        <w:t xml:space="preserve"> scesi addirittura del </w:t>
      </w:r>
      <w:r w:rsidRPr="00BE5EA1">
        <w:rPr>
          <w:rFonts w:ascii="Arial" w:hAnsi="Arial" w:cs="Arial"/>
          <w:b/>
          <w:sz w:val="22"/>
          <w:szCs w:val="22"/>
          <w:u w:val="single"/>
        </w:rPr>
        <w:t>20%</w:t>
      </w:r>
      <w:r>
        <w:rPr>
          <w:rFonts w:ascii="Arial" w:hAnsi="Arial" w:cs="Arial"/>
          <w:bCs/>
          <w:sz w:val="22"/>
          <w:szCs w:val="22"/>
        </w:rPr>
        <w:t>.</w:t>
      </w:r>
    </w:p>
    <w:p w14:paraId="1E9C4916" w14:textId="76EC7B1D" w:rsidR="00BE5EA1" w:rsidRDefault="00BE5EA1" w:rsidP="00BE5EA1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gestione finanziaria fa registrare un aumento del 21,5%. </w:t>
      </w:r>
    </w:p>
    <w:p w14:paraId="5EDF62AF" w14:textId="77777777" w:rsidR="00BE5EA1" w:rsidRDefault="00BE5EA1" w:rsidP="00BE5EA1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L’utile lordo si attesta sui 6 milioni di euro mentre l’utile netto a 4,6. </w:t>
      </w:r>
    </w:p>
    <w:p w14:paraId="14580EFD" w14:textId="61D18E01" w:rsidR="00BE5EA1" w:rsidRDefault="00BE5EA1" w:rsidP="00BE5EA1">
      <w:pPr>
        <w:spacing w:line="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Molto importante un riferimento alla gestione della delicata fase post fusione per incorporazione della Banca di Suasa: con la terza trimestrale 2019 questa fase si può considerare pienamente assorbita dall’Istituto di Credito e </w:t>
      </w:r>
      <w:r w:rsidR="00106032" w:rsidRPr="008F2318">
        <w:rPr>
          <w:rFonts w:ascii="Arial" w:hAnsi="Arial" w:cs="Arial"/>
          <w:bCs/>
          <w:sz w:val="22"/>
          <w:szCs w:val="22"/>
        </w:rPr>
        <w:t>interamente spesata all'interno dell'esercizio corrente</w:t>
      </w:r>
      <w:r>
        <w:rPr>
          <w:rFonts w:ascii="Arial" w:hAnsi="Arial" w:cs="Arial"/>
          <w:bCs/>
          <w:sz w:val="22"/>
          <w:szCs w:val="22"/>
        </w:rPr>
        <w:t>.</w:t>
      </w:r>
    </w:p>
    <w:p w14:paraId="57F2149A" w14:textId="77777777" w:rsidR="008F2318" w:rsidRPr="00F50C52" w:rsidRDefault="008F2318" w:rsidP="008F2318">
      <w:pPr>
        <w:spacing w:line="0" w:lineRule="atLeast"/>
        <w:jc w:val="center"/>
        <w:rPr>
          <w:rFonts w:ascii="Arial" w:eastAsia="Arial" w:hAnsi="Arial" w:cs="Arial"/>
          <w:sz w:val="22"/>
          <w:szCs w:val="22"/>
        </w:rPr>
      </w:pPr>
    </w:p>
    <w:p w14:paraId="776EC4A5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>---</w:t>
      </w:r>
    </w:p>
    <w:p w14:paraId="6F7AEAB2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598A9923" w14:textId="56D7ED0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Bcc di Civitanova Marche e Montecosaro con la Banca di Suasa. Una nuova realtà del credito marchigiano con </w:t>
      </w:r>
      <w:r w:rsidRPr="00F50C52">
        <w:rPr>
          <w:rFonts w:ascii="Arial" w:eastAsia="Arial" w:hAnsi="Arial" w:cs="Arial"/>
          <w:b/>
          <w:sz w:val="22"/>
          <w:szCs w:val="22"/>
        </w:rPr>
        <w:t>24 filiali</w:t>
      </w:r>
      <w:r w:rsidRPr="00F50C52">
        <w:rPr>
          <w:rFonts w:ascii="Arial" w:eastAsia="Arial" w:hAnsi="Arial" w:cs="Arial"/>
          <w:sz w:val="22"/>
          <w:szCs w:val="22"/>
        </w:rPr>
        <w:t xml:space="preserve">, una </w:t>
      </w:r>
      <w:r w:rsidRPr="00F50C52">
        <w:rPr>
          <w:rFonts w:ascii="Arial" w:eastAsia="Arial" w:hAnsi="Arial" w:cs="Arial"/>
          <w:sz w:val="22"/>
          <w:szCs w:val="22"/>
        </w:rPr>
        <w:lastRenderedPageBreak/>
        <w:t xml:space="preserve">copertura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F50C52">
        <w:rPr>
          <w:rFonts w:ascii="Arial" w:eastAsia="Arial" w:hAnsi="Arial" w:cs="Arial"/>
          <w:sz w:val="22"/>
          <w:szCs w:val="22"/>
        </w:rPr>
        <w:t>(</w:t>
      </w:r>
      <w:r w:rsidRPr="00F50C52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F50C52">
        <w:rPr>
          <w:rFonts w:ascii="Arial" w:eastAsia="Arial" w:hAnsi="Arial" w:cs="Arial"/>
          <w:sz w:val="22"/>
          <w:szCs w:val="22"/>
        </w:rPr>
        <w:t xml:space="preserve">), </w:t>
      </w:r>
      <w:r w:rsidRPr="00F50C52">
        <w:rPr>
          <w:rFonts w:ascii="Arial" w:eastAsia="Arial" w:hAnsi="Arial" w:cs="Arial"/>
          <w:b/>
          <w:sz w:val="22"/>
          <w:szCs w:val="22"/>
        </w:rPr>
        <w:t>170 dipendenti</w:t>
      </w:r>
      <w:r w:rsidRPr="00F50C52">
        <w:rPr>
          <w:rFonts w:ascii="Arial" w:eastAsia="Arial" w:hAnsi="Arial" w:cs="Arial"/>
          <w:sz w:val="22"/>
          <w:szCs w:val="22"/>
        </w:rPr>
        <w:t xml:space="preserve">, </w:t>
      </w:r>
      <w:r w:rsidRPr="00F50C52">
        <w:rPr>
          <w:rFonts w:ascii="Arial" w:eastAsia="Arial" w:hAnsi="Arial" w:cs="Arial"/>
          <w:b/>
          <w:sz w:val="22"/>
          <w:szCs w:val="22"/>
        </w:rPr>
        <w:t>9 mila Soci</w:t>
      </w:r>
      <w:r w:rsidRPr="00F50C52">
        <w:rPr>
          <w:rFonts w:ascii="Arial" w:eastAsia="Arial" w:hAnsi="Arial" w:cs="Arial"/>
          <w:sz w:val="22"/>
          <w:szCs w:val="22"/>
        </w:rPr>
        <w:t xml:space="preserve">, un patrimonio netto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60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987 milioni </w:t>
      </w:r>
      <w:r w:rsidRPr="00F50C52">
        <w:rPr>
          <w:rFonts w:ascii="Arial" w:eastAsia="Arial" w:hAnsi="Arial" w:cs="Arial"/>
          <w:sz w:val="22"/>
          <w:szCs w:val="22"/>
        </w:rPr>
        <w:t xml:space="preserve">di euro di mezzi amministrati.  Un istituto in forte crescita e che intende diventare Banca di riferimento per tutto il territorio regionale, a supporto di famiglie e imprese ma anche proponendosi come soggetto proattivo nel creare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F50C52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3521B1E7" w14:textId="77777777" w:rsidR="00477495" w:rsidRPr="00F50C52" w:rsidRDefault="00477495" w:rsidP="00477495">
      <w:pPr>
        <w:jc w:val="both"/>
        <w:rPr>
          <w:rFonts w:ascii="Arial" w:eastAsia="Arial" w:hAnsi="Arial" w:cs="Arial"/>
          <w:sz w:val="22"/>
          <w:szCs w:val="22"/>
        </w:rPr>
      </w:pPr>
    </w:p>
    <w:p w14:paraId="68B2AAC1" w14:textId="77777777" w:rsidR="00477495" w:rsidRDefault="00477495" w:rsidP="00477495">
      <w:pPr>
        <w:jc w:val="both"/>
        <w:rPr>
          <w:rFonts w:ascii="Arial" w:eastAsia="Arial" w:hAnsi="Arial" w:cs="Arial"/>
        </w:rPr>
      </w:pPr>
    </w:p>
    <w:p w14:paraId="35A4798D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3EAB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83F43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04E89-749B-45D1-9707-5C94EC4B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milanida</cp:lastModifiedBy>
  <cp:revision>2</cp:revision>
  <cp:lastPrinted>2017-10-02T14:26:00Z</cp:lastPrinted>
  <dcterms:created xsi:type="dcterms:W3CDTF">2019-11-29T10:34:00Z</dcterms:created>
  <dcterms:modified xsi:type="dcterms:W3CDTF">2019-11-29T10:34:00Z</dcterms:modified>
</cp:coreProperties>
</file>