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7D6EC57F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Civitanova Marche (Mc), </w:t>
      </w:r>
      <w:r w:rsidR="007B2B53">
        <w:rPr>
          <w:rFonts w:ascii="Tahoma" w:eastAsia="Tahoma" w:hAnsi="Tahoma" w:cs="Tahoma"/>
          <w:sz w:val="20"/>
        </w:rPr>
        <w:t>21</w:t>
      </w:r>
      <w:r w:rsidR="006C3296">
        <w:rPr>
          <w:rFonts w:ascii="Tahoma" w:eastAsia="Tahoma" w:hAnsi="Tahoma" w:cs="Tahoma"/>
          <w:sz w:val="20"/>
        </w:rPr>
        <w:t xml:space="preserve"> maggio</w:t>
      </w:r>
      <w:r w:rsidR="008C49E0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2022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1E936C9E" w14:textId="77777777" w:rsidR="008C49E0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158D9B2F" w14:textId="37A8BE5A" w:rsidR="008C49E0" w:rsidRDefault="008C49E0" w:rsidP="00770443">
      <w:pPr>
        <w:tabs>
          <w:tab w:val="left" w:pos="2766"/>
        </w:tabs>
        <w:jc w:val="both"/>
        <w:rPr>
          <w:rFonts w:ascii="Tahoma" w:eastAsia="Arial" w:hAnsi="Tahoma" w:cs="Tahoma"/>
          <w:sz w:val="20"/>
          <w:szCs w:val="20"/>
        </w:rPr>
      </w:pPr>
    </w:p>
    <w:p w14:paraId="7B8516FE" w14:textId="1F47D0BF" w:rsidR="00911BC4" w:rsidRPr="00911BC4" w:rsidRDefault="008D5F0D" w:rsidP="006C3296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 Soci votano </w:t>
      </w:r>
      <w:r w:rsidR="006C3296" w:rsidRPr="00911BC4">
        <w:rPr>
          <w:rFonts w:ascii="Tahoma" w:eastAsia="Tahoma" w:hAnsi="Tahoma" w:cs="Tahoma"/>
          <w:sz w:val="22"/>
          <w:szCs w:val="22"/>
        </w:rPr>
        <w:t xml:space="preserve">il bilancio </w:t>
      </w:r>
    </w:p>
    <w:p w14:paraId="160988EF" w14:textId="3C80E12F" w:rsidR="00911BC4" w:rsidRDefault="00911BC4" w:rsidP="006C3296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Nel 2021 erogati </w:t>
      </w:r>
      <w:r w:rsidR="00491BFC">
        <w:rPr>
          <w:rFonts w:ascii="Tahoma" w:eastAsia="Tahoma" w:hAnsi="Tahoma" w:cs="Tahoma"/>
          <w:b/>
          <w:bCs/>
          <w:sz w:val="28"/>
          <w:szCs w:val="28"/>
        </w:rPr>
        <w:t>120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milioni di euro di nuovi mutui:</w:t>
      </w:r>
    </w:p>
    <w:p w14:paraId="40D8FA60" w14:textId="34D1A42D" w:rsidR="006C3296" w:rsidRPr="005C724C" w:rsidRDefault="00911BC4" w:rsidP="006C3296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Banco sempre più a sostegno del territorio </w:t>
      </w:r>
      <w:r w:rsidR="006C3296" w:rsidRPr="005C724C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</w:p>
    <w:p w14:paraId="215F06B8" w14:textId="77777777" w:rsidR="00F07EC8" w:rsidRPr="007500F5" w:rsidRDefault="006C3296" w:rsidP="006C3296">
      <w:pPr>
        <w:jc w:val="center"/>
        <w:rPr>
          <w:rFonts w:ascii="Tahoma" w:eastAsia="Tahoma" w:hAnsi="Tahoma" w:cs="Tahoma"/>
          <w:i/>
          <w:iCs/>
          <w:sz w:val="20"/>
          <w:szCs w:val="20"/>
        </w:rPr>
      </w:pPr>
      <w:r w:rsidRPr="007500F5">
        <w:rPr>
          <w:rFonts w:ascii="Tahoma" w:eastAsia="Tahoma" w:hAnsi="Tahoma" w:cs="Tahoma"/>
          <w:i/>
          <w:iCs/>
          <w:sz w:val="20"/>
          <w:szCs w:val="20"/>
        </w:rPr>
        <w:t xml:space="preserve">Assemblea in presenza, con tutte le norme di sicurezza: </w:t>
      </w:r>
    </w:p>
    <w:p w14:paraId="5F0A08F1" w14:textId="62CF6BB4" w:rsidR="006C3296" w:rsidRPr="007500F5" w:rsidRDefault="006C3296" w:rsidP="006C3296">
      <w:pPr>
        <w:jc w:val="center"/>
        <w:rPr>
          <w:rFonts w:ascii="Tahoma" w:eastAsia="Tahoma" w:hAnsi="Tahoma" w:cs="Tahoma"/>
          <w:i/>
          <w:iCs/>
          <w:sz w:val="20"/>
          <w:szCs w:val="20"/>
        </w:rPr>
      </w:pPr>
      <w:r w:rsidRPr="007500F5">
        <w:rPr>
          <w:rFonts w:ascii="Tahoma" w:eastAsia="Tahoma" w:hAnsi="Tahoma" w:cs="Tahoma"/>
          <w:i/>
          <w:iCs/>
          <w:sz w:val="20"/>
          <w:szCs w:val="20"/>
        </w:rPr>
        <w:t>“</w:t>
      </w:r>
      <w:r w:rsidR="00F07EC8" w:rsidRPr="007500F5">
        <w:rPr>
          <w:rFonts w:ascii="Tahoma" w:eastAsia="Tahoma" w:hAnsi="Tahoma" w:cs="Tahoma"/>
          <w:i/>
          <w:iCs/>
          <w:sz w:val="20"/>
          <w:szCs w:val="20"/>
        </w:rPr>
        <w:t xml:space="preserve">Imprescindibile per noi </w:t>
      </w:r>
      <w:r w:rsidRPr="007500F5">
        <w:rPr>
          <w:rFonts w:ascii="Tahoma" w:eastAsia="Tahoma" w:hAnsi="Tahoma" w:cs="Tahoma"/>
          <w:i/>
          <w:iCs/>
          <w:sz w:val="20"/>
          <w:szCs w:val="20"/>
        </w:rPr>
        <w:t>il contatto diretto con il territorio e con i nostri Soci</w:t>
      </w:r>
      <w:r w:rsidR="00491BFC">
        <w:rPr>
          <w:rFonts w:ascii="Tahoma" w:eastAsia="Tahoma" w:hAnsi="Tahoma" w:cs="Tahoma"/>
          <w:i/>
          <w:iCs/>
          <w:sz w:val="20"/>
          <w:szCs w:val="20"/>
        </w:rPr>
        <w:t>”</w:t>
      </w:r>
    </w:p>
    <w:p w14:paraId="43F25BFA" w14:textId="77777777" w:rsidR="006C3296" w:rsidRPr="007500F5" w:rsidRDefault="006C3296" w:rsidP="006C3296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11E8D462" w14:textId="2C28759D" w:rsidR="00E02B9A" w:rsidRPr="008D5F0D" w:rsidRDefault="00E02B9A" w:rsidP="006C3296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1F752BB1" w14:textId="4975EEB8" w:rsidR="006C3296" w:rsidRPr="008D5F0D" w:rsidRDefault="00E02B9A" w:rsidP="00755AA7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 xml:space="preserve">Si è parlato di numeri e dati di bilancio, ma anche di scenari presenti e futuri, </w:t>
      </w:r>
      <w:r w:rsidR="00755AA7" w:rsidRPr="008D5F0D">
        <w:rPr>
          <w:rFonts w:ascii="Tahoma" w:eastAsia="Tahoma" w:hAnsi="Tahoma" w:cs="Tahoma"/>
          <w:sz w:val="20"/>
          <w:szCs w:val="20"/>
        </w:rPr>
        <w:t xml:space="preserve">venerdì </w:t>
      </w:r>
      <w:r w:rsidRPr="008D5F0D">
        <w:rPr>
          <w:rFonts w:ascii="Tahoma" w:eastAsia="Tahoma" w:hAnsi="Tahoma" w:cs="Tahoma"/>
          <w:sz w:val="20"/>
          <w:szCs w:val="20"/>
        </w:rPr>
        <w:t xml:space="preserve">pomeriggio </w:t>
      </w:r>
      <w:r w:rsidR="00755AA7" w:rsidRPr="008D5F0D">
        <w:rPr>
          <w:rFonts w:ascii="Tahoma" w:eastAsia="Tahoma" w:hAnsi="Tahoma" w:cs="Tahoma"/>
          <w:sz w:val="20"/>
          <w:szCs w:val="20"/>
        </w:rPr>
        <w:t xml:space="preserve">all’Assemblea dei Soci del Banco Marchigiano, chiamati a raccolta presso il </w:t>
      </w:r>
      <w:r w:rsidR="006C3296" w:rsidRPr="008D5F0D">
        <w:rPr>
          <w:rFonts w:ascii="Tahoma" w:eastAsia="Tahoma" w:hAnsi="Tahoma" w:cs="Tahoma"/>
          <w:sz w:val="20"/>
          <w:szCs w:val="20"/>
        </w:rPr>
        <w:t>cineteatro Rossini di Civitanova</w:t>
      </w:r>
      <w:r w:rsidR="008D5F0D">
        <w:rPr>
          <w:rFonts w:ascii="Tahoma" w:eastAsia="Tahoma" w:hAnsi="Tahoma" w:cs="Tahoma"/>
          <w:sz w:val="20"/>
          <w:szCs w:val="20"/>
        </w:rPr>
        <w:t xml:space="preserve"> anche per votare il Bilancio 2021</w:t>
      </w:r>
      <w:r w:rsidR="006C3296" w:rsidRPr="008D5F0D">
        <w:rPr>
          <w:rFonts w:ascii="Tahoma" w:eastAsia="Tahoma" w:hAnsi="Tahoma" w:cs="Tahoma"/>
          <w:sz w:val="20"/>
          <w:szCs w:val="20"/>
        </w:rPr>
        <w:t>.</w:t>
      </w:r>
    </w:p>
    <w:p w14:paraId="52C4DFF9" w14:textId="22E1DC8E" w:rsidR="006F48B1" w:rsidRPr="008D5F0D" w:rsidRDefault="006F48B1" w:rsidP="006F48B1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>Tra i numeri presentati in Assemblea</w:t>
      </w:r>
      <w:r>
        <w:rPr>
          <w:rFonts w:ascii="Tahoma" w:eastAsia="Tahoma" w:hAnsi="Tahoma" w:cs="Tahoma"/>
          <w:sz w:val="20"/>
          <w:szCs w:val="20"/>
        </w:rPr>
        <w:t xml:space="preserve"> dal DG Marco Moreschi</w:t>
      </w:r>
      <w:r w:rsidRPr="008D5F0D">
        <w:rPr>
          <w:rFonts w:ascii="Tahoma" w:eastAsia="Tahoma" w:hAnsi="Tahoma" w:cs="Tahoma"/>
          <w:sz w:val="20"/>
          <w:szCs w:val="20"/>
        </w:rPr>
        <w:t xml:space="preserve">, non sono passati inosservati i </w:t>
      </w:r>
      <w:r w:rsidRPr="008D5F0D">
        <w:rPr>
          <w:rFonts w:ascii="Tahoma" w:eastAsia="Tahoma" w:hAnsi="Tahoma" w:cs="Tahoma"/>
          <w:b/>
          <w:bCs/>
          <w:sz w:val="20"/>
          <w:szCs w:val="20"/>
        </w:rPr>
        <w:t>120 milioni di euro di mutui</w:t>
      </w:r>
      <w:r w:rsidRPr="008D5F0D">
        <w:rPr>
          <w:rFonts w:ascii="Tahoma" w:eastAsia="Tahoma" w:hAnsi="Tahoma" w:cs="Tahoma"/>
          <w:sz w:val="20"/>
          <w:szCs w:val="20"/>
        </w:rPr>
        <w:t xml:space="preserve"> erogati nel 2021, “indice del nostro sostegno a famiglie e imprese”, ribadisce il DG. Così come i 5,9 milioni di euro di utile lordo, l’ottima ultima trimestrale 2021 e i 300 mila euro di sponsorizzazioni ed erogazioni liberali anch’esse a sostegno delle iniziative e dell’associazionismo territoriale di qualsiasi genere, culturale, sportivo, ecc. </w:t>
      </w:r>
    </w:p>
    <w:p w14:paraId="7E39E3E5" w14:textId="3DADC402" w:rsidR="004301A1" w:rsidRPr="008D5F0D" w:rsidRDefault="004301A1" w:rsidP="004301A1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 xml:space="preserve">Tra gli obiettivi sempre ben saldi, quello di sostenere il territorio in questa difficile fase di ripresa socio-economica dal periodo pandemico e di confermare il proprio ruolo di promotore di reti sinergiche con le eccellenze locali. </w:t>
      </w:r>
    </w:p>
    <w:p w14:paraId="332C412B" w14:textId="666306C3" w:rsidR="004301A1" w:rsidRPr="008D5F0D" w:rsidRDefault="004301A1" w:rsidP="004301A1">
      <w:pPr>
        <w:jc w:val="both"/>
        <w:rPr>
          <w:rFonts w:ascii="Tahoma" w:eastAsia="Tahoma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>Un appuntamento, quello dell’Assemblea,</w:t>
      </w:r>
      <w:r w:rsidR="00A022E7" w:rsidRPr="008D5F0D">
        <w:rPr>
          <w:rFonts w:ascii="Tahoma" w:eastAsia="Tahoma" w:hAnsi="Tahoma" w:cs="Tahoma"/>
          <w:sz w:val="20"/>
          <w:szCs w:val="20"/>
        </w:rPr>
        <w:t xml:space="preserve"> che si è tenuto</w:t>
      </w:r>
      <w:r w:rsidRPr="008D5F0D">
        <w:rPr>
          <w:rFonts w:ascii="Tahoma" w:eastAsia="Tahoma" w:hAnsi="Tahoma" w:cs="Tahoma"/>
          <w:sz w:val="20"/>
          <w:szCs w:val="20"/>
        </w:rPr>
        <w:t xml:space="preserve"> “con tutte le accortezze e le sicurezze del caso, ma in presenza”, rimarcano dal Banco, “perché per noi rimane imprescindibile il contatto diretto con il territorio e con i nostri Soci, nel più autentico spirito della mutualità e della cooperazione”.</w:t>
      </w:r>
    </w:p>
    <w:p w14:paraId="13985C3A" w14:textId="2E682FF7" w:rsidR="006C3296" w:rsidRPr="008D5F0D" w:rsidRDefault="006C3296" w:rsidP="00755AA7">
      <w:pPr>
        <w:spacing w:line="0" w:lineRule="atLeast"/>
        <w:jc w:val="both"/>
        <w:rPr>
          <w:rFonts w:ascii="Tahoma" w:eastAsia="Arial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>“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Approvato un bilancio dai numeri e risultati importanti che vede </w:t>
      </w:r>
      <w:r w:rsidR="00683BA1" w:rsidRPr="008D5F0D">
        <w:rPr>
          <w:rFonts w:ascii="Tahoma" w:eastAsia="Tahoma" w:hAnsi="Tahoma" w:cs="Tahoma"/>
          <w:sz w:val="20"/>
          <w:szCs w:val="20"/>
        </w:rPr>
        <w:t xml:space="preserve">il Banco Marchigiano 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in prima linea nel panorama del credito </w:t>
      </w:r>
      <w:r w:rsidRPr="008D5F0D">
        <w:rPr>
          <w:rFonts w:ascii="Tahoma" w:eastAsia="Tahoma" w:hAnsi="Tahoma" w:cs="Tahoma"/>
          <w:sz w:val="20"/>
          <w:szCs w:val="20"/>
        </w:rPr>
        <w:t xml:space="preserve">– dice il Presidente </w:t>
      </w:r>
      <w:r w:rsidRPr="008D5F0D">
        <w:rPr>
          <w:rFonts w:ascii="Tahoma" w:eastAsia="Tahoma" w:hAnsi="Tahoma" w:cs="Tahoma"/>
          <w:b/>
          <w:bCs/>
          <w:sz w:val="20"/>
          <w:szCs w:val="20"/>
        </w:rPr>
        <w:t>Sandro Palombini</w:t>
      </w:r>
      <w:r w:rsidRPr="008D5F0D">
        <w:rPr>
          <w:rFonts w:ascii="Tahoma" w:eastAsia="Tahoma" w:hAnsi="Tahoma" w:cs="Tahoma"/>
          <w:sz w:val="20"/>
          <w:szCs w:val="20"/>
        </w:rPr>
        <w:t xml:space="preserve"> – </w:t>
      </w:r>
      <w:r w:rsidR="007500F5" w:rsidRPr="008D5F0D">
        <w:rPr>
          <w:rFonts w:ascii="Tahoma" w:eastAsia="Tahoma" w:hAnsi="Tahoma" w:cs="Tahoma"/>
          <w:sz w:val="20"/>
          <w:szCs w:val="20"/>
        </w:rPr>
        <w:t>Nonostante quanto accaduto a livello globale negli scorsi due anni</w:t>
      </w:r>
      <w:r w:rsidR="00683BA1" w:rsidRPr="008D5F0D">
        <w:rPr>
          <w:rFonts w:ascii="Tahoma" w:eastAsia="Tahoma" w:hAnsi="Tahoma" w:cs="Tahoma"/>
          <w:sz w:val="20"/>
          <w:szCs w:val="20"/>
        </w:rPr>
        <w:t>,</w:t>
      </w:r>
      <w:r w:rsidR="007B2B53" w:rsidRPr="008D5F0D">
        <w:rPr>
          <w:rFonts w:ascii="Tahoma" w:eastAsia="Tahoma" w:hAnsi="Tahoma" w:cs="Tahoma"/>
          <w:sz w:val="20"/>
          <w:szCs w:val="20"/>
        </w:rPr>
        <w:t xml:space="preserve"> </w:t>
      </w:r>
      <w:r w:rsidRPr="008D5F0D">
        <w:rPr>
          <w:rFonts w:ascii="Tahoma" w:eastAsia="Tahoma" w:hAnsi="Tahoma" w:cs="Tahoma"/>
          <w:sz w:val="20"/>
          <w:szCs w:val="20"/>
        </w:rPr>
        <w:t>con ripercussioni che si sono riversate su tutti i settori economici del Paese e del mondo</w:t>
      </w:r>
      <w:r w:rsidR="00E02B9A" w:rsidRPr="008D5F0D">
        <w:rPr>
          <w:rFonts w:ascii="Tahoma" w:eastAsia="Tahoma" w:hAnsi="Tahoma" w:cs="Tahoma"/>
          <w:sz w:val="20"/>
          <w:szCs w:val="20"/>
        </w:rPr>
        <w:t xml:space="preserve">, il Banco non ha mai rinunciato alla sua </w:t>
      </w:r>
      <w:r w:rsidRPr="008D5F0D">
        <w:rPr>
          <w:rFonts w:ascii="Tahoma" w:eastAsia="Tahoma" w:hAnsi="Tahoma" w:cs="Tahoma"/>
          <w:sz w:val="20"/>
          <w:szCs w:val="20"/>
        </w:rPr>
        <w:t>missione primaria di sostenere il territorio</w:t>
      </w:r>
      <w:r w:rsidR="00E02B9A" w:rsidRPr="008D5F0D">
        <w:rPr>
          <w:rFonts w:ascii="Tahoma" w:eastAsia="Tahoma" w:hAnsi="Tahoma" w:cs="Tahoma"/>
          <w:sz w:val="20"/>
          <w:szCs w:val="20"/>
        </w:rPr>
        <w:t xml:space="preserve">. Anzi, proprio il periodo così </w:t>
      </w:r>
      <w:r w:rsidRPr="008D5F0D">
        <w:rPr>
          <w:rFonts w:ascii="Tahoma" w:eastAsia="Tahoma" w:hAnsi="Tahoma" w:cs="Tahoma"/>
          <w:sz w:val="20"/>
          <w:szCs w:val="20"/>
        </w:rPr>
        <w:t>complicato</w:t>
      </w:r>
      <w:r w:rsidR="00E02B9A" w:rsidRPr="008D5F0D">
        <w:rPr>
          <w:rFonts w:ascii="Tahoma" w:eastAsia="Tahoma" w:hAnsi="Tahoma" w:cs="Tahoma"/>
          <w:sz w:val="20"/>
          <w:szCs w:val="20"/>
        </w:rPr>
        <w:t xml:space="preserve"> per tutti ci ha spinto a tenere bella dritta la barra del timone e, senza tentennamenti, continuare a dare un supporto</w:t>
      </w:r>
      <w:r w:rsidR="000F4847" w:rsidRPr="008D5F0D">
        <w:rPr>
          <w:rFonts w:ascii="Tahoma" w:eastAsia="Tahoma" w:hAnsi="Tahoma" w:cs="Tahoma"/>
          <w:sz w:val="20"/>
          <w:szCs w:val="20"/>
        </w:rPr>
        <w:t xml:space="preserve"> </w:t>
      </w:r>
      <w:r w:rsidR="00E02B9A" w:rsidRPr="008D5F0D">
        <w:rPr>
          <w:rFonts w:ascii="Tahoma" w:eastAsia="Tahoma" w:hAnsi="Tahoma" w:cs="Tahoma"/>
          <w:sz w:val="20"/>
          <w:szCs w:val="20"/>
        </w:rPr>
        <w:t>a famiglie ed imprese”.</w:t>
      </w:r>
    </w:p>
    <w:p w14:paraId="0542FBD8" w14:textId="01E51434" w:rsidR="004301A1" w:rsidRPr="008D5F0D" w:rsidRDefault="004301A1" w:rsidP="004301A1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 xml:space="preserve">“Il 2021 per il Banco è stato ancora una volta un anno dai numeri importanti e dai lusinghieri risultati raggiunti </w:t>
      </w:r>
      <w:r w:rsidRPr="008D5F0D">
        <w:rPr>
          <w:rFonts w:ascii="Tahoma" w:eastAsia="Arial" w:hAnsi="Tahoma" w:cs="Tahoma"/>
          <w:sz w:val="20"/>
          <w:szCs w:val="20"/>
        </w:rPr>
        <w:t xml:space="preserve">– dice </w:t>
      </w:r>
      <w:r w:rsidRPr="008D5F0D">
        <w:rPr>
          <w:rFonts w:ascii="Tahoma" w:eastAsia="Tahoma" w:hAnsi="Tahoma" w:cs="Tahoma"/>
          <w:b/>
          <w:bCs/>
          <w:sz w:val="20"/>
          <w:szCs w:val="20"/>
        </w:rPr>
        <w:t xml:space="preserve">Marco Bindelli, </w:t>
      </w:r>
      <w:r w:rsidRPr="008D5F0D">
        <w:rPr>
          <w:rFonts w:ascii="Tahoma" w:eastAsia="Tahoma" w:hAnsi="Tahoma" w:cs="Tahoma"/>
          <w:sz w:val="20"/>
          <w:szCs w:val="20"/>
        </w:rPr>
        <w:t>Vice Presidente e Amministratore delegato ai rapporti col Credito Cooperativo –</w:t>
      </w:r>
      <w:r w:rsidRPr="008D5F0D">
        <w:rPr>
          <w:rFonts w:ascii="Tahoma" w:eastAsia="Arial" w:hAnsi="Tahoma" w:cs="Tahoma"/>
          <w:sz w:val="20"/>
          <w:szCs w:val="20"/>
        </w:rPr>
        <w:t xml:space="preserve"> ma è stato anche </w:t>
      </w:r>
      <w:r w:rsidRPr="008D5F0D">
        <w:rPr>
          <w:rFonts w:ascii="Tahoma" w:eastAsia="Tahoma" w:hAnsi="Tahoma" w:cs="Tahoma"/>
          <w:sz w:val="20"/>
          <w:szCs w:val="20"/>
        </w:rPr>
        <w:t>l’anno dell’</w:t>
      </w:r>
      <w:r w:rsidRPr="008D5F0D">
        <w:rPr>
          <w:rFonts w:ascii="Tahoma" w:eastAsia="Arial" w:hAnsi="Tahoma" w:cs="Tahoma"/>
          <w:sz w:val="20"/>
          <w:szCs w:val="20"/>
        </w:rPr>
        <w:t xml:space="preserve">aggregazione con la Banca del Gran Sasso d’Italia una Banca piccola ma virtuosa. Il nuovo Istituto ha preso il via lo scorso primo </w:t>
      </w:r>
      <w:r w:rsidRPr="008D5F0D">
        <w:rPr>
          <w:rFonts w:ascii="Tahoma" w:hAnsi="Tahoma" w:cs="Tahoma"/>
          <w:sz w:val="20"/>
          <w:szCs w:val="20"/>
        </w:rPr>
        <w:t>ottobre. Una nuova realtà nel panorama del Credito Cooperativo Italiano che, p</w:t>
      </w:r>
      <w:r w:rsidRPr="008D5F0D">
        <w:rPr>
          <w:rFonts w:ascii="Tahoma" w:eastAsia="Arial" w:hAnsi="Tahoma" w:cs="Tahoma"/>
          <w:sz w:val="20"/>
          <w:szCs w:val="20"/>
        </w:rPr>
        <w:t>er la prima volta nella nostra storia, ci vede aperti ad un’area extraregionale accettando con entusiasmo la sfida di misurarci con nuovi territori”.</w:t>
      </w:r>
    </w:p>
    <w:p w14:paraId="26F1436D" w14:textId="4C44CC2E" w:rsidR="006C3296" w:rsidRPr="008D5F0D" w:rsidRDefault="00A022E7" w:rsidP="00A022E7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8D5F0D">
        <w:rPr>
          <w:rFonts w:ascii="Tahoma" w:eastAsia="Tahoma" w:hAnsi="Tahoma" w:cs="Tahoma"/>
          <w:sz w:val="20"/>
          <w:szCs w:val="20"/>
        </w:rPr>
        <w:t>Nel corso dell’appuntamento, l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a compagine sociale </w:t>
      </w:r>
      <w:r w:rsidRPr="008D5F0D">
        <w:rPr>
          <w:rFonts w:ascii="Tahoma" w:eastAsia="Tahoma" w:hAnsi="Tahoma" w:cs="Tahoma"/>
          <w:sz w:val="20"/>
          <w:szCs w:val="20"/>
        </w:rPr>
        <w:t xml:space="preserve">è stata chiamata a votare </w:t>
      </w:r>
      <w:r w:rsidR="006C3296" w:rsidRPr="008D5F0D">
        <w:rPr>
          <w:rFonts w:ascii="Tahoma" w:eastAsia="Tahoma" w:hAnsi="Tahoma" w:cs="Tahoma"/>
          <w:sz w:val="20"/>
          <w:szCs w:val="20"/>
        </w:rPr>
        <w:t>il bilancio 202</w:t>
      </w:r>
      <w:r w:rsidRPr="008D5F0D">
        <w:rPr>
          <w:rFonts w:ascii="Tahoma" w:eastAsia="Tahoma" w:hAnsi="Tahoma" w:cs="Tahoma"/>
          <w:sz w:val="20"/>
          <w:szCs w:val="20"/>
        </w:rPr>
        <w:t xml:space="preserve">1. Il documento è stato approvato e vede 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il Direttore Generale </w:t>
      </w:r>
      <w:r w:rsidR="006C3296" w:rsidRPr="008D5F0D">
        <w:rPr>
          <w:rFonts w:ascii="Tahoma" w:eastAsia="Tahoma" w:hAnsi="Tahoma" w:cs="Tahoma"/>
          <w:b/>
          <w:bCs/>
          <w:sz w:val="20"/>
          <w:szCs w:val="20"/>
        </w:rPr>
        <w:t>Marco Moreschi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 soddisfatto per il lavoro e i risultati finora conseguiti: “</w:t>
      </w:r>
      <w:r w:rsidR="000411D5" w:rsidRPr="008D5F0D">
        <w:rPr>
          <w:rFonts w:ascii="Tahoma" w:eastAsia="Tahoma" w:hAnsi="Tahoma" w:cs="Tahoma"/>
          <w:sz w:val="20"/>
          <w:szCs w:val="20"/>
        </w:rPr>
        <w:t>Abbiamo co</w:t>
      </w:r>
      <w:r w:rsidR="000411D5" w:rsidRPr="008D5F0D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nfermato la solidità dell’Istituto, i profili di rischio ai minimi storici, 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l’ottimo </w:t>
      </w:r>
      <w:r w:rsidR="000411D5" w:rsidRPr="008D5F0D">
        <w:rPr>
          <w:rFonts w:ascii="Tahoma" w:eastAsia="Tahoma" w:hAnsi="Tahoma" w:cs="Tahoma"/>
          <w:sz w:val="20"/>
          <w:szCs w:val="20"/>
        </w:rPr>
        <w:t>livello di patrimonializzazione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, </w:t>
      </w:r>
      <w:r w:rsidR="000411D5" w:rsidRPr="008D5F0D">
        <w:rPr>
          <w:rFonts w:ascii="Tahoma" w:eastAsia="Tahoma" w:hAnsi="Tahoma" w:cs="Tahoma"/>
          <w:sz w:val="20"/>
          <w:szCs w:val="20"/>
        </w:rPr>
        <w:t>la capacità di produrre reddito e la fortissima contrazione dei livelli di esposizione</w:t>
      </w:r>
      <w:r w:rsidRPr="008D5F0D">
        <w:rPr>
          <w:rFonts w:ascii="Tahoma" w:eastAsiaTheme="minorHAnsi" w:hAnsi="Tahoma" w:cs="Tahoma"/>
          <w:iCs/>
          <w:sz w:val="20"/>
          <w:szCs w:val="20"/>
          <w:lang w:eastAsia="en-US"/>
        </w:rPr>
        <w:t>.</w:t>
      </w:r>
      <w:r w:rsidR="000411D5" w:rsidRPr="008D5F0D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Stiamo raccogliendo </w:t>
      </w:r>
      <w:r w:rsidRPr="008D5F0D">
        <w:rPr>
          <w:rFonts w:ascii="Tahoma" w:eastAsiaTheme="minorHAnsi" w:hAnsi="Tahoma" w:cs="Tahoma"/>
          <w:iCs/>
          <w:sz w:val="20"/>
          <w:szCs w:val="20"/>
          <w:lang w:eastAsia="en-US"/>
        </w:rPr>
        <w:t>il frutto di anni di lavoro intenso, di strategie chiare e di una forte relazione con il territorio.</w:t>
      </w:r>
      <w:r w:rsidR="007500F5" w:rsidRPr="008D5F0D">
        <w:rPr>
          <w:rFonts w:ascii="Tahoma" w:eastAsiaTheme="minorHAnsi" w:hAnsi="Tahoma" w:cs="Tahoma"/>
          <w:iCs/>
          <w:sz w:val="20"/>
          <w:szCs w:val="20"/>
          <w:lang w:eastAsia="en-US"/>
        </w:rPr>
        <w:t xml:space="preserve"> 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Abbiamo 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decisamente 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le carte in regola per 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continuare ad 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essere un 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partner </w:t>
      </w:r>
      <w:r w:rsidR="006C3296" w:rsidRPr="008D5F0D">
        <w:rPr>
          <w:rFonts w:ascii="Tahoma" w:eastAsia="Tahoma" w:hAnsi="Tahoma" w:cs="Tahoma"/>
          <w:sz w:val="20"/>
          <w:szCs w:val="20"/>
        </w:rPr>
        <w:t>per imprenditori</w:t>
      </w:r>
      <w:r w:rsidR="007500F5" w:rsidRPr="008D5F0D">
        <w:rPr>
          <w:rFonts w:ascii="Tahoma" w:eastAsia="Tahoma" w:hAnsi="Tahoma" w:cs="Tahoma"/>
          <w:sz w:val="20"/>
          <w:szCs w:val="20"/>
        </w:rPr>
        <w:t xml:space="preserve"> e </w:t>
      </w:r>
      <w:r w:rsidR="006C3296" w:rsidRPr="008D5F0D">
        <w:rPr>
          <w:rFonts w:ascii="Tahoma" w:eastAsia="Tahoma" w:hAnsi="Tahoma" w:cs="Tahoma"/>
          <w:sz w:val="20"/>
          <w:szCs w:val="20"/>
        </w:rPr>
        <w:t>Istituzioni</w:t>
      </w:r>
      <w:r w:rsidR="007500F5" w:rsidRPr="008D5F0D">
        <w:rPr>
          <w:rFonts w:ascii="Tahoma" w:eastAsia="Tahoma" w:hAnsi="Tahoma" w:cs="Tahoma"/>
          <w:sz w:val="20"/>
          <w:szCs w:val="20"/>
        </w:rPr>
        <w:t>, fare sintesi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 e</w:t>
      </w:r>
      <w:r w:rsidR="007500F5" w:rsidRPr="008D5F0D">
        <w:rPr>
          <w:rFonts w:ascii="Tahoma" w:eastAsia="Tahoma" w:hAnsi="Tahoma" w:cs="Tahoma"/>
          <w:sz w:val="20"/>
          <w:szCs w:val="20"/>
        </w:rPr>
        <w:t>d essere riferimento</w:t>
      </w:r>
      <w:r w:rsidR="006C3296" w:rsidRPr="008D5F0D">
        <w:rPr>
          <w:rFonts w:ascii="Tahoma" w:eastAsia="Tahoma" w:hAnsi="Tahoma" w:cs="Tahoma"/>
          <w:sz w:val="20"/>
          <w:szCs w:val="20"/>
        </w:rPr>
        <w:t xml:space="preserve"> per l’intero sistema Marche”. </w:t>
      </w:r>
    </w:p>
    <w:p w14:paraId="2D50765F" w14:textId="09A73D56" w:rsidR="008D5F0D" w:rsidRDefault="008D5F0D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6FE8B54D" w14:textId="6E0B2C42" w:rsidR="006F48B1" w:rsidRPr="008D5F0D" w:rsidRDefault="006F48B1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</w:t>
      </w:r>
    </w:p>
    <w:p w14:paraId="56EAA793" w14:textId="5D7FBFA9" w:rsidR="008D5F0D" w:rsidRPr="008D5F0D" w:rsidRDefault="008D5F0D" w:rsidP="008D5F0D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Di seguito i dati del bilancio 2021 nel dettaglio, già diramati con un comunicato stampa il 10 febbraio scorso dopo l’approvazione e ieri ratificati dal voto dei Soci. </w:t>
      </w:r>
    </w:p>
    <w:p w14:paraId="032B9D08" w14:textId="77777777" w:rsidR="008D5F0D" w:rsidRPr="008D5F0D" w:rsidRDefault="008D5F0D" w:rsidP="008D5F0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D5F0D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I risultati patrimoniali:</w:t>
      </w:r>
    </w:p>
    <w:p w14:paraId="3B33DB3A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 xml:space="preserve">Il totale dei mezzi amministrati supera i 1,2 miliardi e segna un incremento del 10,3%, con la raccolta indiretta che cresce del 18% grazie al contributo della forte dinamica positiva del comparto gestito e assicurativo in crescita di oltre il 30%. </w:t>
      </w:r>
    </w:p>
    <w:p w14:paraId="4F6E1710" w14:textId="73C19CA4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 xml:space="preserve">Gli impieghi netti, pari a € 580 milioni, sono in aumento del 6,4%, e sono caratterizzati da una crescita sia della parte a vista per il 9% che della parte a scadenza per il 7,3%; gli impieghi a scadenza, in particolare, hanno visto </w:t>
      </w:r>
      <w:r w:rsidRPr="008D5F0D">
        <w:rPr>
          <w:rFonts w:ascii="Tahoma" w:hAnsi="Tahoma" w:cs="Tahoma"/>
          <w:sz w:val="20"/>
          <w:szCs w:val="20"/>
          <w:u w:val="single"/>
        </w:rPr>
        <w:t>l’erogazione di € 1</w:t>
      </w:r>
      <w:r>
        <w:rPr>
          <w:rFonts w:ascii="Tahoma" w:hAnsi="Tahoma" w:cs="Tahoma"/>
          <w:sz w:val="20"/>
          <w:szCs w:val="20"/>
          <w:u w:val="single"/>
        </w:rPr>
        <w:t>20</w:t>
      </w:r>
      <w:r w:rsidRPr="008D5F0D">
        <w:rPr>
          <w:rFonts w:ascii="Tahoma" w:hAnsi="Tahoma" w:cs="Tahoma"/>
          <w:sz w:val="20"/>
          <w:szCs w:val="20"/>
          <w:u w:val="single"/>
        </w:rPr>
        <w:t xml:space="preserve"> milioni di nuovi mutui</w:t>
      </w:r>
      <w:r w:rsidRPr="008D5F0D">
        <w:rPr>
          <w:rFonts w:ascii="Tahoma" w:hAnsi="Tahoma" w:cs="Tahoma"/>
          <w:sz w:val="20"/>
          <w:szCs w:val="20"/>
        </w:rPr>
        <w:t>.</w:t>
      </w:r>
    </w:p>
    <w:p w14:paraId="4D77AD3C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>Armonica e decisa, pertanto, la crescita di tutte le componenti legate all’attività caratteristica.</w:t>
      </w:r>
    </w:p>
    <w:p w14:paraId="033DAA45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 xml:space="preserve">Prosegue la politica estremamente rigorosa nella gestione dei crediti deteriorati: la percentuale di copertura di tutto il credito deteriorato è del 61%, con le sofferenze coperte all’87% e le inadempienze probabili al 50%. </w:t>
      </w:r>
    </w:p>
    <w:p w14:paraId="6FB9D9E0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>Su tale fronte si conferma anche un indice NPL ratio al 6,15% che per effetto delle coperture scende al 2,4% netto; le sofferenze nette in rapporto ai crediti netti scendono allo 0,37%.</w:t>
      </w:r>
    </w:p>
    <w:p w14:paraId="47E86B26" w14:textId="77777777" w:rsidR="008D5F0D" w:rsidRPr="008D5F0D" w:rsidRDefault="008D5F0D" w:rsidP="008D5F0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A637CA1" w14:textId="77777777" w:rsidR="008D5F0D" w:rsidRPr="008D5F0D" w:rsidRDefault="008D5F0D" w:rsidP="008D5F0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D5F0D">
        <w:rPr>
          <w:rFonts w:ascii="Tahoma" w:hAnsi="Tahoma" w:cs="Tahoma"/>
          <w:b/>
          <w:bCs/>
          <w:sz w:val="20"/>
          <w:szCs w:val="20"/>
          <w:u w:val="single"/>
        </w:rPr>
        <w:t xml:space="preserve">I principali risultati economici: </w:t>
      </w:r>
    </w:p>
    <w:p w14:paraId="15B0EE94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 xml:space="preserve">Il margine d’interesse, pari a 18 mln €, è in aumento del 18% rispetto al 2020. In forte incremento rispetto allo scorso anno risulta anche la componente dei ricavi da servizi che si caratterizza per una variazione positiva del 14,2% e rafforza ulteriormente la redditività caratteristica del Banco. </w:t>
      </w:r>
    </w:p>
    <w:p w14:paraId="3FBD5F2F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>Il margine di intermediazione presenta un andamento fortemente positivo con un delta di oltre il 9% rispetto al valore del 2020.</w:t>
      </w:r>
    </w:p>
    <w:p w14:paraId="5EF9697C" w14:textId="77777777" w:rsidR="008D5F0D" w:rsidRPr="008D5F0D" w:rsidRDefault="008D5F0D" w:rsidP="008D5F0D">
      <w:pPr>
        <w:jc w:val="both"/>
        <w:rPr>
          <w:rFonts w:ascii="Tahoma" w:hAnsi="Tahoma" w:cs="Tahoma"/>
          <w:sz w:val="20"/>
          <w:szCs w:val="20"/>
        </w:rPr>
      </w:pPr>
      <w:r w:rsidRPr="008D5F0D">
        <w:rPr>
          <w:rFonts w:ascii="Tahoma" w:hAnsi="Tahoma" w:cs="Tahoma"/>
          <w:sz w:val="20"/>
          <w:szCs w:val="20"/>
        </w:rPr>
        <w:t xml:space="preserve">L’utile netto di 4,5 milioni di euro contribuisce al progressivo rafforzamento patrimoniale con un </w:t>
      </w:r>
      <w:proofErr w:type="spellStart"/>
      <w:r w:rsidRPr="008D5F0D">
        <w:rPr>
          <w:rFonts w:ascii="Tahoma" w:hAnsi="Tahoma" w:cs="Tahoma"/>
          <w:sz w:val="20"/>
          <w:szCs w:val="20"/>
        </w:rPr>
        <w:t>total</w:t>
      </w:r>
      <w:proofErr w:type="spellEnd"/>
      <w:r w:rsidRPr="008D5F0D">
        <w:rPr>
          <w:rFonts w:ascii="Tahoma" w:hAnsi="Tahoma" w:cs="Tahoma"/>
          <w:sz w:val="20"/>
          <w:szCs w:val="20"/>
        </w:rPr>
        <w:t xml:space="preserve"> capital ratio che supera il 20%.</w:t>
      </w:r>
    </w:p>
    <w:p w14:paraId="2150AAF7" w14:textId="77777777" w:rsidR="008D5F0D" w:rsidRPr="008D5F0D" w:rsidRDefault="008D5F0D" w:rsidP="008D5F0D">
      <w:pPr>
        <w:tabs>
          <w:tab w:val="left" w:pos="93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7B35B842" w14:textId="77777777" w:rsidR="008D5F0D" w:rsidRPr="008D5F0D" w:rsidRDefault="008D5F0D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519FC0E5" w14:textId="6258180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4847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4273"/>
    <w:rsid w:val="001F7BCB"/>
    <w:rsid w:val="00202D77"/>
    <w:rsid w:val="00203A35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53C97"/>
    <w:rsid w:val="00265274"/>
    <w:rsid w:val="0026596D"/>
    <w:rsid w:val="00272916"/>
    <w:rsid w:val="002742B2"/>
    <w:rsid w:val="00275658"/>
    <w:rsid w:val="002772BF"/>
    <w:rsid w:val="00280FE3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7FD1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6F"/>
    <w:rsid w:val="006E3AF4"/>
    <w:rsid w:val="006F0021"/>
    <w:rsid w:val="006F0451"/>
    <w:rsid w:val="006F48B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2B53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65607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0A7"/>
    <w:rsid w:val="008A4C34"/>
    <w:rsid w:val="008A61C6"/>
    <w:rsid w:val="008B13BD"/>
    <w:rsid w:val="008B19CC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5F0D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7D31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BDF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7697"/>
    <w:rsid w:val="00BD7E8E"/>
    <w:rsid w:val="00BE0D88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3BC8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07EC8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4605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2022-05-24T06:55:00Z</dcterms:created>
  <dcterms:modified xsi:type="dcterms:W3CDTF">2022-05-24T06:55:00Z</dcterms:modified>
</cp:coreProperties>
</file>