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A581C" w14:textId="198817D7" w:rsidR="00D93601" w:rsidRDefault="007E245A">
      <w:pPr>
        <w:spacing w:after="0" w:line="240" w:lineRule="auto"/>
        <w:jc w:val="right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>Civitanova Marche (MC)</w:t>
      </w:r>
      <w:r w:rsidR="0040432B">
        <w:rPr>
          <w:rFonts w:ascii="Arial" w:eastAsia="Arial" w:hAnsi="Arial" w:cs="Arial"/>
        </w:rPr>
        <w:t>, 3 agosto</w:t>
      </w:r>
      <w:r w:rsidR="00CC6B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202</w:t>
      </w:r>
      <w:r w:rsidR="00CC6B09">
        <w:rPr>
          <w:rFonts w:ascii="Arial" w:eastAsia="Arial" w:hAnsi="Arial" w:cs="Arial"/>
        </w:rPr>
        <w:t>1</w:t>
      </w:r>
    </w:p>
    <w:p w14:paraId="6FD2E9EF" w14:textId="25C8B45E" w:rsidR="00D93601" w:rsidRDefault="007E245A">
      <w:pP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COMUNICATO STAMPA n. </w:t>
      </w:r>
      <w:r w:rsidR="00CC6B09">
        <w:rPr>
          <w:rFonts w:ascii="Arial" w:eastAsia="Arial" w:hAnsi="Arial" w:cs="Arial"/>
          <w:b/>
          <w:u w:val="single"/>
        </w:rPr>
        <w:t>16</w:t>
      </w:r>
      <w:r>
        <w:rPr>
          <w:rFonts w:ascii="Arial" w:eastAsia="Arial" w:hAnsi="Arial" w:cs="Arial"/>
          <w:b/>
          <w:u w:val="single"/>
        </w:rPr>
        <w:t>/202</w:t>
      </w:r>
      <w:r w:rsidR="00CC6B09">
        <w:rPr>
          <w:rFonts w:ascii="Arial" w:eastAsia="Arial" w:hAnsi="Arial" w:cs="Arial"/>
          <w:b/>
          <w:u w:val="single"/>
        </w:rPr>
        <w:t>1</w:t>
      </w:r>
    </w:p>
    <w:p w14:paraId="096565C5" w14:textId="74F7F4F7" w:rsidR="00D93601" w:rsidRDefault="00D93601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573060D6" w14:textId="2E1FBFD7" w:rsidR="00D93601" w:rsidRDefault="00D93601" w:rsidP="00CC6B09">
      <w:pPr>
        <w:spacing w:after="0" w:line="240" w:lineRule="auto"/>
        <w:rPr>
          <w:rFonts w:ascii="Arial" w:eastAsia="Arial" w:hAnsi="Arial" w:cs="Arial"/>
          <w:b/>
          <w:sz w:val="32"/>
        </w:rPr>
      </w:pPr>
    </w:p>
    <w:p w14:paraId="125671D3" w14:textId="77777777" w:rsidR="00CC6B09" w:rsidRDefault="00CC6B09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Fusione con la Banca del Gran Sasso:</w:t>
      </w:r>
    </w:p>
    <w:p w14:paraId="3185E070" w14:textId="527F3F8B" w:rsidR="00D93601" w:rsidRDefault="00CC6B09" w:rsidP="00CC6B09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c’è il semaforo verde dei Soci</w:t>
      </w:r>
    </w:p>
    <w:p w14:paraId="76B59E12" w14:textId="10374689" w:rsidR="00CC6B09" w:rsidRPr="00CC6B09" w:rsidRDefault="00353FAC" w:rsidP="00CC6B09">
      <w:pPr>
        <w:spacing w:after="0" w:line="240" w:lineRule="auto"/>
        <w:jc w:val="center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 xml:space="preserve">Nei giorni scorsi </w:t>
      </w:r>
      <w:r w:rsidR="00CC6B09" w:rsidRPr="00CC6B09">
        <w:rPr>
          <w:rFonts w:ascii="Arial" w:eastAsia="Arial" w:hAnsi="Arial" w:cs="Arial"/>
          <w:i/>
          <w:iCs/>
        </w:rPr>
        <w:t xml:space="preserve">le compagini sociali </w:t>
      </w:r>
      <w:r w:rsidR="00CC6B09">
        <w:rPr>
          <w:rFonts w:ascii="Arial" w:eastAsia="Arial" w:hAnsi="Arial" w:cs="Arial"/>
          <w:i/>
          <w:iCs/>
        </w:rPr>
        <w:t xml:space="preserve">delle due Banche </w:t>
      </w:r>
      <w:r w:rsidR="00CC6B09" w:rsidRPr="00CC6B09">
        <w:rPr>
          <w:rFonts w:ascii="Arial" w:eastAsia="Arial" w:hAnsi="Arial" w:cs="Arial"/>
          <w:i/>
          <w:iCs/>
        </w:rPr>
        <w:t>hanno votato il progetto di fusione per incorporazione della Banca abruzzese in quella marchigiana</w:t>
      </w:r>
    </w:p>
    <w:p w14:paraId="7F4CD3F4" w14:textId="77777777" w:rsidR="00B27597" w:rsidRDefault="00B27597">
      <w:pPr>
        <w:spacing w:after="0" w:line="240" w:lineRule="auto"/>
        <w:jc w:val="both"/>
        <w:rPr>
          <w:rFonts w:ascii="Arial" w:eastAsia="Arial" w:hAnsi="Arial" w:cs="Arial"/>
        </w:rPr>
      </w:pPr>
    </w:p>
    <w:p w14:paraId="0D92AF96" w14:textId="416C46D4" w:rsidR="00B27597" w:rsidRDefault="00B27597">
      <w:pPr>
        <w:spacing w:after="0" w:line="240" w:lineRule="auto"/>
        <w:jc w:val="both"/>
        <w:rPr>
          <w:rFonts w:ascii="Arial" w:eastAsia="Arial" w:hAnsi="Arial" w:cs="Arial"/>
        </w:rPr>
      </w:pPr>
    </w:p>
    <w:p w14:paraId="71E61159" w14:textId="7601B694" w:rsidR="00B27597" w:rsidRDefault="006F23D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Dopo aver ottenuto l’autorizzazione della Banca Centrale Europea </w:t>
      </w:r>
      <w:r w:rsidR="007C4970">
        <w:rPr>
          <w:rFonts w:ascii="Arial" w:eastAsia="Arial" w:hAnsi="Arial" w:cs="Arial"/>
        </w:rPr>
        <w:t xml:space="preserve">nel corso dei </w:t>
      </w:r>
      <w:r>
        <w:rPr>
          <w:rFonts w:ascii="Arial" w:eastAsia="Arial" w:hAnsi="Arial" w:cs="Arial"/>
        </w:rPr>
        <w:t>primi giorni di giugno,</w:t>
      </w:r>
      <w:r w:rsidDel="006F23D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</w:t>
      </w:r>
      <w:r w:rsidR="00B27597">
        <w:rPr>
          <w:rFonts w:ascii="Arial" w:eastAsia="Arial" w:hAnsi="Arial" w:cs="Arial"/>
        </w:rPr>
        <w:t xml:space="preserve">emaforo verde </w:t>
      </w:r>
      <w:r w:rsidR="007C4970">
        <w:rPr>
          <w:rFonts w:ascii="Arial" w:eastAsia="Arial" w:hAnsi="Arial" w:cs="Arial"/>
        </w:rPr>
        <w:t xml:space="preserve">definitivo </w:t>
      </w:r>
      <w:r w:rsidR="00B27597">
        <w:rPr>
          <w:rFonts w:ascii="Arial" w:eastAsia="Arial" w:hAnsi="Arial" w:cs="Arial"/>
        </w:rPr>
        <w:t>alla fusione del Banco Marchigiano con la Banca del Gran Sasso d’Italia BCC.</w:t>
      </w:r>
    </w:p>
    <w:p w14:paraId="4233361F" w14:textId="78EDA5C3" w:rsidR="00B27597" w:rsidRDefault="00353FA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Nei giorni scorsi, infatti, </w:t>
      </w:r>
      <w:r w:rsidR="00B27597">
        <w:rPr>
          <w:rFonts w:ascii="Arial" w:eastAsia="Arial" w:hAnsi="Arial" w:cs="Arial"/>
        </w:rPr>
        <w:t xml:space="preserve">le rispettive compagini sociali hanno votato il progetto di fusione </w:t>
      </w:r>
      <w:r w:rsidR="00CC6B09">
        <w:rPr>
          <w:rFonts w:ascii="Arial" w:eastAsia="Arial" w:hAnsi="Arial" w:cs="Arial"/>
        </w:rPr>
        <w:t xml:space="preserve">dei due Istituti, con il Banco Marchigiano che incorporerà la </w:t>
      </w:r>
      <w:r w:rsidR="007E245A">
        <w:rPr>
          <w:rFonts w:ascii="Arial" w:eastAsia="Arial" w:hAnsi="Arial" w:cs="Arial"/>
        </w:rPr>
        <w:t xml:space="preserve">giovane </w:t>
      </w:r>
      <w:r w:rsidR="00B27597">
        <w:rPr>
          <w:rFonts w:ascii="Arial" w:eastAsia="Arial" w:hAnsi="Arial" w:cs="Arial"/>
        </w:rPr>
        <w:t>Banca abruzzese</w:t>
      </w:r>
      <w:r w:rsidR="007E245A">
        <w:rPr>
          <w:rFonts w:ascii="Arial" w:eastAsia="Arial" w:hAnsi="Arial" w:cs="Arial"/>
        </w:rPr>
        <w:t>, nata nel 2015.</w:t>
      </w:r>
    </w:p>
    <w:p w14:paraId="2B9B0C46" w14:textId="77777777" w:rsidR="00CC6B09" w:rsidRDefault="00B27597" w:rsidP="0010518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Una data storica, per i due istituti di credito guidati dal Presidente Sandro Palombini, dal Vice Presidente Marco Bindelli e dal Direttore Generale Marco Moreschi, sponda Banco Marchigiano, e da Giulio Cesare Sottanelli, Gabriele Di Simone e Maria Concetta Di Saverio, rispettivamente Presidente, vice Presidente e Direttore Generale facente funzione dell’istituto abruzzese. </w:t>
      </w:r>
    </w:p>
    <w:p w14:paraId="05A623C8" w14:textId="2EAD204D" w:rsidR="00CC6B09" w:rsidRDefault="00CC6B09" w:rsidP="00CC6B0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“Queste due votazioni – dice </w:t>
      </w:r>
      <w:r w:rsidRPr="00CC6B09">
        <w:rPr>
          <w:rFonts w:ascii="Arial" w:eastAsia="Arial" w:hAnsi="Arial" w:cs="Arial"/>
          <w:b/>
          <w:bCs/>
        </w:rPr>
        <w:t>Palomb</w:t>
      </w:r>
      <w:r w:rsidR="006E4DDB">
        <w:rPr>
          <w:rFonts w:ascii="Arial" w:eastAsia="Arial" w:hAnsi="Arial" w:cs="Arial"/>
          <w:b/>
          <w:bCs/>
        </w:rPr>
        <w:t>i</w:t>
      </w:r>
      <w:r w:rsidRPr="00CC6B09">
        <w:rPr>
          <w:rFonts w:ascii="Arial" w:eastAsia="Arial" w:hAnsi="Arial" w:cs="Arial"/>
          <w:b/>
          <w:bCs/>
        </w:rPr>
        <w:t>ni</w:t>
      </w:r>
      <w:r>
        <w:rPr>
          <w:rFonts w:ascii="Arial" w:eastAsia="Arial" w:hAnsi="Arial" w:cs="Arial"/>
        </w:rPr>
        <w:t xml:space="preserve"> - rappresentano un doppio imprescindibile e importantissimo passaggio verso l’ulteriore sviluppo e crescita della nostra Banca”.</w:t>
      </w:r>
    </w:p>
    <w:p w14:paraId="24A5242F" w14:textId="4638B514" w:rsidR="00105180" w:rsidRDefault="00B27597" w:rsidP="00CC6B0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L’articolato percorso</w:t>
      </w:r>
      <w:r w:rsidR="007E245A">
        <w:rPr>
          <w:rFonts w:ascii="Arial" w:eastAsia="Arial" w:hAnsi="Arial" w:cs="Arial"/>
        </w:rPr>
        <w:t>, iniziato già dalla sottoscrizione del protocollo d’intesa avvenuta il 23 dicembre dello scorso anno,</w:t>
      </w:r>
      <w:r>
        <w:rPr>
          <w:rFonts w:ascii="Arial" w:eastAsia="Arial" w:hAnsi="Arial" w:cs="Arial"/>
        </w:rPr>
        <w:t xml:space="preserve"> procederà in base ad un serrato cronoprogramma che vedrà la nascita ufficiale del nuovo Istituto di Credito, frutto della fusione, per il primo ottobre </w:t>
      </w:r>
      <w:r w:rsidR="007E245A">
        <w:rPr>
          <w:rFonts w:ascii="Arial" w:eastAsia="Arial" w:hAnsi="Arial" w:cs="Arial"/>
        </w:rPr>
        <w:t>di quest’anno</w:t>
      </w:r>
      <w:r>
        <w:rPr>
          <w:rFonts w:ascii="Arial" w:eastAsia="Arial" w:hAnsi="Arial" w:cs="Arial"/>
        </w:rPr>
        <w:t xml:space="preserve">. </w:t>
      </w:r>
    </w:p>
    <w:p w14:paraId="41EC36C8" w14:textId="15074A7B" w:rsidR="00105180" w:rsidRDefault="007E245A" w:rsidP="0010518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Dopo il pronunciamento delle due Assemblee dei Soci, l</w:t>
      </w:r>
      <w:r w:rsidR="00105180">
        <w:rPr>
          <w:rFonts w:ascii="Arial" w:eastAsia="Arial" w:hAnsi="Arial" w:cs="Arial"/>
        </w:rPr>
        <w:t xml:space="preserve">a stipula dell’atto di fusione avverrà a fine settembre per poi procedere allo start ufficiale, come detto, il </w:t>
      </w:r>
      <w:proofErr w:type="gramStart"/>
      <w:r w:rsidR="00105180">
        <w:rPr>
          <w:rFonts w:ascii="Arial" w:eastAsia="Arial" w:hAnsi="Arial" w:cs="Arial"/>
        </w:rPr>
        <w:t>1 ottobre</w:t>
      </w:r>
      <w:proofErr w:type="gramEnd"/>
      <w:r w:rsidR="00105180">
        <w:rPr>
          <w:rFonts w:ascii="Arial" w:eastAsia="Arial" w:hAnsi="Arial" w:cs="Arial"/>
        </w:rPr>
        <w:t xml:space="preserve"> 2021. Il tutto avverrà ovviamente sotto l’egida della Capogruppo di cui fanno parte entrambe le Banche, ovvero Cassa Centrale Banca S.p.A. </w:t>
      </w:r>
    </w:p>
    <w:p w14:paraId="5B0AB10A" w14:textId="4436A905" w:rsidR="007E245A" w:rsidRDefault="007E245A" w:rsidP="00105180">
      <w:pPr>
        <w:spacing w:after="0" w:line="240" w:lineRule="auto"/>
        <w:jc w:val="both"/>
        <w:rPr>
          <w:rFonts w:ascii="Arial" w:eastAsia="Arial" w:hAnsi="Arial" w:cs="Arial"/>
        </w:rPr>
      </w:pPr>
    </w:p>
    <w:p w14:paraId="7FFEFD3A" w14:textId="2212FEDE" w:rsidR="007E245A" w:rsidRPr="007E245A" w:rsidRDefault="007E245A" w:rsidP="00105180">
      <w:pPr>
        <w:spacing w:after="0" w:line="240" w:lineRule="auto"/>
        <w:jc w:val="both"/>
        <w:rPr>
          <w:rFonts w:ascii="Arial" w:eastAsia="Arial" w:hAnsi="Arial" w:cs="Arial"/>
          <w:b/>
          <w:bCs/>
          <w:u w:val="single"/>
        </w:rPr>
      </w:pPr>
      <w:r w:rsidRPr="007E245A">
        <w:rPr>
          <w:rFonts w:ascii="Arial" w:eastAsia="Arial" w:hAnsi="Arial" w:cs="Arial"/>
          <w:b/>
          <w:bCs/>
          <w:u w:val="single"/>
        </w:rPr>
        <w:t>La nuova Banca</w:t>
      </w:r>
    </w:p>
    <w:p w14:paraId="6FCA39D8" w14:textId="7A163B41" w:rsidR="00105180" w:rsidRDefault="00105180" w:rsidP="0010518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nuova Banca avrà un totale di </w:t>
      </w:r>
      <w:r>
        <w:rPr>
          <w:rFonts w:ascii="Arial" w:eastAsia="Arial" w:hAnsi="Arial" w:cs="Arial"/>
          <w:b/>
        </w:rPr>
        <w:t>11.400 soci</w:t>
      </w:r>
      <w:r>
        <w:rPr>
          <w:rFonts w:ascii="Arial" w:eastAsia="Arial" w:hAnsi="Arial" w:cs="Arial"/>
        </w:rPr>
        <w:t xml:space="preserve">, frutto dei 9000 del Banco e dei 2.400 della Banca abruzzese; le </w:t>
      </w:r>
      <w:r>
        <w:rPr>
          <w:rFonts w:ascii="Arial" w:eastAsia="Arial" w:hAnsi="Arial" w:cs="Arial"/>
          <w:b/>
        </w:rPr>
        <w:t>filiali saranno 28</w:t>
      </w:r>
      <w:r>
        <w:rPr>
          <w:rFonts w:ascii="Arial" w:eastAsia="Arial" w:hAnsi="Arial" w:cs="Arial"/>
        </w:rPr>
        <w:t xml:space="preserve"> (25 Banco e 3 Banca del Gran Sasso d’Italia BCC), i </w:t>
      </w:r>
      <w:r>
        <w:rPr>
          <w:rFonts w:ascii="Arial" w:eastAsia="Arial" w:hAnsi="Arial" w:cs="Arial"/>
          <w:b/>
        </w:rPr>
        <w:t>dipendenti saranno 188</w:t>
      </w:r>
      <w:r>
        <w:rPr>
          <w:rFonts w:ascii="Arial" w:eastAsia="Arial" w:hAnsi="Arial" w:cs="Arial"/>
        </w:rPr>
        <w:t xml:space="preserve"> (171 quelli marchigiani e 17 i colleghi provenienti dall’Istituto limitrofo; il </w:t>
      </w:r>
      <w:r>
        <w:rPr>
          <w:rFonts w:ascii="Arial" w:eastAsia="Arial" w:hAnsi="Arial" w:cs="Arial"/>
          <w:b/>
        </w:rPr>
        <w:t>patrimonio complessivo</w:t>
      </w:r>
      <w:r>
        <w:rPr>
          <w:rFonts w:ascii="Arial" w:eastAsia="Arial" w:hAnsi="Arial" w:cs="Arial"/>
        </w:rPr>
        <w:t xml:space="preserve"> sarà di </w:t>
      </w:r>
      <w:r>
        <w:rPr>
          <w:rFonts w:ascii="Arial" w:eastAsia="Arial" w:hAnsi="Arial" w:cs="Arial"/>
          <w:b/>
        </w:rPr>
        <w:t>71 milioni</w:t>
      </w:r>
      <w:r>
        <w:rPr>
          <w:rFonts w:ascii="Arial" w:eastAsia="Arial" w:hAnsi="Arial" w:cs="Arial"/>
        </w:rPr>
        <w:t xml:space="preserve"> (66 Banco, 5 Gran Sasso), mentre </w:t>
      </w:r>
      <w:r>
        <w:rPr>
          <w:rFonts w:ascii="Arial" w:eastAsia="Arial" w:hAnsi="Arial" w:cs="Arial"/>
          <w:b/>
        </w:rPr>
        <w:t>l’attivo patrimoniale</w:t>
      </w:r>
      <w:r>
        <w:rPr>
          <w:rFonts w:ascii="Arial" w:eastAsia="Arial" w:hAnsi="Arial" w:cs="Arial"/>
        </w:rPr>
        <w:t xml:space="preserve"> sarà di oltre </w:t>
      </w:r>
      <w:r>
        <w:rPr>
          <w:rFonts w:ascii="Arial" w:eastAsia="Arial" w:hAnsi="Arial" w:cs="Arial"/>
          <w:b/>
        </w:rPr>
        <w:t>un miliardo e 100 milioni</w:t>
      </w:r>
      <w:r>
        <w:rPr>
          <w:rFonts w:ascii="Arial" w:eastAsia="Arial" w:hAnsi="Arial" w:cs="Arial"/>
        </w:rPr>
        <w:t xml:space="preserve">, frutto dell’oltre un miliardo del Banco e dei 64 milioni dell’Istituto abruzzese. </w:t>
      </w:r>
    </w:p>
    <w:p w14:paraId="3C1A0F07" w14:textId="77777777" w:rsidR="00105180" w:rsidRDefault="00105180" w:rsidP="0010518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Alle 25 filiali del Banco Marchigiano, articolate tra le provincie di Pesaro, Ancona, Macerata e Fermo, si aggiungeranno pertanto le filiali dell’Istituto abruzzese di </w:t>
      </w:r>
      <w:r>
        <w:rPr>
          <w:rFonts w:ascii="Arial" w:eastAsia="Arial" w:hAnsi="Arial" w:cs="Arial"/>
          <w:b/>
        </w:rPr>
        <w:t xml:space="preserve">Pineto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b/>
        </w:rPr>
        <w:t>Montorio al Vomano</w:t>
      </w:r>
      <w:r>
        <w:rPr>
          <w:rFonts w:ascii="Arial" w:eastAsia="Arial" w:hAnsi="Arial" w:cs="Arial"/>
        </w:rPr>
        <w:t xml:space="preserve">, provincia di Teramo, e quella de </w:t>
      </w:r>
      <w:r>
        <w:rPr>
          <w:rFonts w:ascii="Arial" w:eastAsia="Arial" w:hAnsi="Arial" w:cs="Arial"/>
          <w:b/>
        </w:rPr>
        <w:t>L’Aquila</w:t>
      </w:r>
      <w:r>
        <w:rPr>
          <w:rFonts w:ascii="Arial" w:eastAsia="Arial" w:hAnsi="Arial" w:cs="Arial"/>
        </w:rPr>
        <w:t xml:space="preserve">. </w:t>
      </w:r>
    </w:p>
    <w:p w14:paraId="4EBF4740" w14:textId="77777777" w:rsidR="00105180" w:rsidRDefault="00105180" w:rsidP="0010518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Ancora per quel che concerne la copertura territoriale, la nuova Banca farà registrare fin da subito numeri importanti nel mondo delle Bcc italiane per il numero di </w:t>
      </w:r>
      <w:r>
        <w:rPr>
          <w:rFonts w:ascii="Arial" w:eastAsia="Arial" w:hAnsi="Arial" w:cs="Arial"/>
          <w:b/>
        </w:rPr>
        <w:t>Province coperte</w:t>
      </w:r>
      <w:r>
        <w:rPr>
          <w:rFonts w:ascii="Arial" w:eastAsia="Arial" w:hAnsi="Arial" w:cs="Arial"/>
        </w:rPr>
        <w:t xml:space="preserve"> (ben 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</w:rPr>
        <w:t xml:space="preserve">: Pesaro, Ancona, Macerata, Fermo, Teramo, L’Aquila) e di </w:t>
      </w:r>
      <w:r>
        <w:rPr>
          <w:rFonts w:ascii="Arial" w:eastAsia="Arial" w:hAnsi="Arial" w:cs="Arial"/>
          <w:b/>
        </w:rPr>
        <w:t>Comuni serviti</w:t>
      </w:r>
      <w:r>
        <w:rPr>
          <w:rFonts w:ascii="Arial" w:eastAsia="Arial" w:hAnsi="Arial" w:cs="Arial"/>
        </w:rPr>
        <w:t xml:space="preserve"> per competenza (</w:t>
      </w:r>
      <w:r>
        <w:rPr>
          <w:rFonts w:ascii="Arial" w:eastAsia="Arial" w:hAnsi="Arial" w:cs="Arial"/>
          <w:b/>
        </w:rPr>
        <w:t>106</w:t>
      </w:r>
      <w:r>
        <w:rPr>
          <w:rFonts w:ascii="Arial" w:eastAsia="Arial" w:hAnsi="Arial" w:cs="Arial"/>
        </w:rPr>
        <w:t>, di cui 32 della Banca del Gran Sasso d’Italia Bcc e 74 del Banco Marchigiano).</w:t>
      </w:r>
    </w:p>
    <w:p w14:paraId="69E6EC8C" w14:textId="5690956A" w:rsidR="00D93601" w:rsidRDefault="00B27597" w:rsidP="0010518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B0DAA06" w14:textId="77777777" w:rsidR="00D93601" w:rsidRDefault="00D93601">
      <w:pPr>
        <w:spacing w:after="0" w:line="240" w:lineRule="auto"/>
        <w:jc w:val="both"/>
        <w:rPr>
          <w:rFonts w:ascii="Arial" w:eastAsia="Arial" w:hAnsi="Arial" w:cs="Arial"/>
        </w:rPr>
      </w:pPr>
    </w:p>
    <w:p w14:paraId="364088FD" w14:textId="77777777" w:rsidR="00D93601" w:rsidRDefault="007E245A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---</w:t>
      </w:r>
    </w:p>
    <w:p w14:paraId="64D41F76" w14:textId="77777777" w:rsidR="00D93601" w:rsidRDefault="007E245A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Nico Coppari</w:t>
      </w:r>
    </w:p>
    <w:p w14:paraId="38C7CBA2" w14:textId="77777777" w:rsidR="00D93601" w:rsidRDefault="007E245A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Ufficio Stampa </w:t>
      </w:r>
    </w:p>
    <w:p w14:paraId="63DBD08E" w14:textId="77777777" w:rsidR="00D93601" w:rsidRDefault="007E245A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Banco Marchigiano – Credito Cooperativo</w:t>
      </w:r>
    </w:p>
    <w:p w14:paraId="02DCB51A" w14:textId="77777777" w:rsidR="00D93601" w:rsidRDefault="007E245A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M. 3398399859</w:t>
      </w:r>
    </w:p>
    <w:p w14:paraId="681C4DEE" w14:textId="77777777" w:rsidR="00D93601" w:rsidRDefault="00D936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D936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01"/>
    <w:rsid w:val="00105180"/>
    <w:rsid w:val="0033580A"/>
    <w:rsid w:val="00353FAC"/>
    <w:rsid w:val="0040432B"/>
    <w:rsid w:val="006E4DDB"/>
    <w:rsid w:val="006F23D5"/>
    <w:rsid w:val="007C4970"/>
    <w:rsid w:val="007E245A"/>
    <w:rsid w:val="00B27597"/>
    <w:rsid w:val="00CC6B09"/>
    <w:rsid w:val="00D93601"/>
    <w:rsid w:val="00F5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4BAB"/>
  <w15:docId w15:val="{4A340898-346D-4F16-A413-75DB1E9B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2608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Daniela Milani</cp:lastModifiedBy>
  <cp:revision>2</cp:revision>
  <dcterms:created xsi:type="dcterms:W3CDTF">2021-08-19T15:03:00Z</dcterms:created>
  <dcterms:modified xsi:type="dcterms:W3CDTF">2021-08-19T15:03:00Z</dcterms:modified>
</cp:coreProperties>
</file>