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51A0" w14:textId="30A9DE09" w:rsidR="00087BFB" w:rsidRDefault="000F0EEC" w:rsidP="006567EB">
      <w:pPr>
        <w:ind w:right="100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3</w:t>
      </w:r>
      <w:r w:rsidR="006567EB">
        <w:rPr>
          <w:rFonts w:ascii="Tahoma" w:eastAsia="Tahoma" w:hAnsi="Tahoma" w:cs="Tahoma"/>
          <w:sz w:val="20"/>
        </w:rPr>
        <w:t xml:space="preserve"> </w:t>
      </w:r>
      <w:r w:rsidR="00E4570B">
        <w:rPr>
          <w:rFonts w:ascii="Tahoma" w:eastAsia="Tahoma" w:hAnsi="Tahoma" w:cs="Tahoma"/>
          <w:sz w:val="20"/>
        </w:rPr>
        <w:t>maggio</w:t>
      </w:r>
      <w:r w:rsidR="00104241">
        <w:rPr>
          <w:rFonts w:ascii="Tahoma" w:eastAsia="Tahoma" w:hAnsi="Tahoma" w:cs="Tahoma"/>
          <w:sz w:val="20"/>
        </w:rPr>
        <w:t xml:space="preserve"> </w:t>
      </w:r>
      <w:r w:rsidR="00E75836">
        <w:rPr>
          <w:rFonts w:ascii="Tahoma" w:eastAsia="Tahoma" w:hAnsi="Tahoma" w:cs="Tahoma"/>
          <w:sz w:val="20"/>
        </w:rPr>
        <w:t>202</w:t>
      </w:r>
      <w:r w:rsidR="00E4570B">
        <w:rPr>
          <w:rFonts w:ascii="Tahoma" w:eastAsia="Tahoma" w:hAnsi="Tahoma" w:cs="Tahoma"/>
          <w:sz w:val="20"/>
        </w:rPr>
        <w:t>4</w:t>
      </w: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62EDF79" w14:textId="77777777" w:rsidR="00E7741C" w:rsidRPr="00E7741C" w:rsidRDefault="00E7741C" w:rsidP="00E7741C">
      <w:pPr>
        <w:tabs>
          <w:tab w:val="left" w:pos="3267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1D5207F" w14:textId="431FF28E" w:rsidR="008B4D2E" w:rsidRPr="0007410F" w:rsidRDefault="008B4D2E" w:rsidP="0007410F">
      <w:pPr>
        <w:tabs>
          <w:tab w:val="left" w:pos="3236"/>
          <w:tab w:val="center" w:pos="4819"/>
        </w:tabs>
        <w:jc w:val="center"/>
        <w:rPr>
          <w:rFonts w:ascii="Tahoma" w:eastAsia="Arial" w:hAnsi="Tahoma" w:cs="Tahoma"/>
          <w:b/>
          <w:bCs/>
        </w:rPr>
      </w:pPr>
    </w:p>
    <w:p w14:paraId="6736B9D2" w14:textId="77777777" w:rsidR="007D48A0" w:rsidRDefault="00A95902" w:rsidP="007D48A0">
      <w:pPr>
        <w:tabs>
          <w:tab w:val="left" w:pos="3267"/>
          <w:tab w:val="left" w:pos="367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Banco Marchigiano, </w:t>
      </w:r>
      <w:r w:rsidR="007D48A0">
        <w:rPr>
          <w:rFonts w:ascii="Tahoma" w:hAnsi="Tahoma" w:cs="Tahoma"/>
          <w:b/>
          <w:bCs/>
        </w:rPr>
        <w:t xml:space="preserve">approvato bilancio </w:t>
      </w:r>
      <w:r>
        <w:rPr>
          <w:rFonts w:ascii="Tahoma" w:hAnsi="Tahoma" w:cs="Tahoma"/>
          <w:b/>
          <w:bCs/>
        </w:rPr>
        <w:t>2023</w:t>
      </w:r>
      <w:r w:rsidR="007D48A0">
        <w:rPr>
          <w:rFonts w:ascii="Tahoma" w:hAnsi="Tahoma" w:cs="Tahoma"/>
          <w:b/>
          <w:bCs/>
        </w:rPr>
        <w:t>:</w:t>
      </w:r>
    </w:p>
    <w:p w14:paraId="584B83FB" w14:textId="07FF7479" w:rsidR="00E12B48" w:rsidRDefault="007D48A0" w:rsidP="007D48A0">
      <w:pPr>
        <w:tabs>
          <w:tab w:val="left" w:pos="3267"/>
          <w:tab w:val="left" w:pos="367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 milioni di utile netto</w:t>
      </w:r>
    </w:p>
    <w:p w14:paraId="2885878B" w14:textId="77777777" w:rsidR="00A95902" w:rsidRDefault="00A95902" w:rsidP="00520F88">
      <w:pPr>
        <w:jc w:val="center"/>
        <w:rPr>
          <w:rFonts w:ascii="Tahoma" w:hAnsi="Tahoma" w:cs="Tahoma"/>
          <w:i/>
          <w:iCs/>
          <w:sz w:val="20"/>
          <w:szCs w:val="20"/>
        </w:rPr>
      </w:pPr>
    </w:p>
    <w:p w14:paraId="1FB06A21" w14:textId="47A2112F" w:rsidR="007D48A0" w:rsidRDefault="007D48A0" w:rsidP="007D48A0">
      <w:pPr>
        <w:jc w:val="center"/>
        <w:rPr>
          <w:rFonts w:ascii="Tahoma" w:eastAsia="Arial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Un traguardo molto significativo ottenuto </w:t>
      </w:r>
      <w:r w:rsidRPr="007D48A0">
        <w:rPr>
          <w:rFonts w:ascii="Tahoma" w:eastAsia="Arial" w:hAnsi="Tahoma" w:cs="Tahoma"/>
          <w:i/>
          <w:iCs/>
          <w:sz w:val="20"/>
          <w:szCs w:val="20"/>
        </w:rPr>
        <w:t>grazie a un’attenta gestione manageriale</w:t>
      </w:r>
      <w:r>
        <w:rPr>
          <w:rFonts w:ascii="Tahoma" w:eastAsia="Arial" w:hAnsi="Tahoma" w:cs="Tahoma"/>
          <w:i/>
          <w:iCs/>
          <w:sz w:val="20"/>
          <w:szCs w:val="20"/>
        </w:rPr>
        <w:t>.</w:t>
      </w:r>
    </w:p>
    <w:p w14:paraId="7E7BF198" w14:textId="220BD0B5" w:rsidR="00A95902" w:rsidRPr="007D48A0" w:rsidRDefault="007D48A0" w:rsidP="007D48A0">
      <w:pPr>
        <w:jc w:val="center"/>
        <w:rPr>
          <w:rFonts w:ascii="Tahoma" w:eastAsia="Arial" w:hAnsi="Tahoma" w:cs="Tahoma"/>
          <w:i/>
          <w:iCs/>
          <w:sz w:val="20"/>
          <w:szCs w:val="20"/>
        </w:rPr>
      </w:pPr>
      <w:r>
        <w:rPr>
          <w:rFonts w:ascii="Tahoma" w:eastAsia="Arial" w:hAnsi="Tahoma" w:cs="Tahoma"/>
          <w:i/>
          <w:iCs/>
          <w:sz w:val="20"/>
          <w:szCs w:val="20"/>
        </w:rPr>
        <w:t xml:space="preserve">Tra i dati più importanti </w:t>
      </w:r>
      <w:r w:rsidR="00A95902">
        <w:rPr>
          <w:rFonts w:ascii="Tahoma" w:hAnsi="Tahoma" w:cs="Tahoma"/>
          <w:i/>
          <w:iCs/>
          <w:sz w:val="20"/>
          <w:szCs w:val="20"/>
        </w:rPr>
        <w:t xml:space="preserve">anche i </w:t>
      </w:r>
      <w:r w:rsidR="0007410F" w:rsidRPr="00520F88">
        <w:rPr>
          <w:rFonts w:ascii="Tahoma" w:eastAsia="Arial" w:hAnsi="Tahoma" w:cs="Tahoma"/>
          <w:b/>
          <w:bCs/>
          <w:i/>
          <w:iCs/>
          <w:sz w:val="20"/>
          <w:szCs w:val="20"/>
        </w:rPr>
        <w:t>500 mila euro</w:t>
      </w:r>
      <w:r w:rsidR="0007410F" w:rsidRPr="00520F88">
        <w:rPr>
          <w:rFonts w:ascii="Tahoma" w:eastAsia="Arial" w:hAnsi="Tahoma" w:cs="Tahoma"/>
          <w:i/>
          <w:iCs/>
          <w:sz w:val="20"/>
          <w:szCs w:val="20"/>
        </w:rPr>
        <w:t xml:space="preserve"> </w:t>
      </w:r>
      <w:r w:rsidR="00A95902" w:rsidRPr="007D48A0">
        <w:rPr>
          <w:rFonts w:ascii="Tahoma" w:eastAsia="Arial" w:hAnsi="Tahoma" w:cs="Tahoma"/>
          <w:i/>
          <w:iCs/>
          <w:sz w:val="20"/>
          <w:szCs w:val="20"/>
        </w:rPr>
        <w:t xml:space="preserve">destinati </w:t>
      </w:r>
    </w:p>
    <w:p w14:paraId="0DC25D8E" w14:textId="0DB22698" w:rsidR="00A95902" w:rsidRPr="007D48A0" w:rsidRDefault="0007410F" w:rsidP="00520F88">
      <w:pPr>
        <w:jc w:val="center"/>
        <w:rPr>
          <w:rFonts w:ascii="Tahoma" w:eastAsia="Arial" w:hAnsi="Tahoma" w:cs="Tahoma"/>
          <w:i/>
          <w:iCs/>
          <w:sz w:val="20"/>
          <w:szCs w:val="20"/>
        </w:rPr>
      </w:pPr>
      <w:r w:rsidRPr="00520F88">
        <w:rPr>
          <w:rFonts w:ascii="Tahoma" w:eastAsia="Arial" w:hAnsi="Tahoma" w:cs="Tahoma"/>
          <w:i/>
          <w:iCs/>
          <w:sz w:val="20"/>
          <w:szCs w:val="20"/>
        </w:rPr>
        <w:t>alla sanità</w:t>
      </w:r>
      <w:r w:rsidR="00395B5D">
        <w:rPr>
          <w:rFonts w:ascii="Tahoma" w:eastAsia="Arial" w:hAnsi="Tahoma" w:cs="Tahoma"/>
          <w:i/>
          <w:iCs/>
          <w:sz w:val="20"/>
          <w:szCs w:val="20"/>
        </w:rPr>
        <w:t xml:space="preserve"> locale,</w:t>
      </w:r>
      <w:r w:rsidRPr="00520F88">
        <w:rPr>
          <w:rFonts w:ascii="Tahoma" w:eastAsia="Arial" w:hAnsi="Tahoma" w:cs="Tahoma"/>
          <w:i/>
          <w:iCs/>
          <w:sz w:val="20"/>
          <w:szCs w:val="20"/>
        </w:rPr>
        <w:t xml:space="preserve"> sport, culturali, ambientali</w:t>
      </w:r>
      <w:r w:rsidR="00A95902">
        <w:rPr>
          <w:rFonts w:ascii="Tahoma" w:eastAsia="Arial" w:hAnsi="Tahoma" w:cs="Tahoma"/>
          <w:i/>
          <w:iCs/>
          <w:sz w:val="20"/>
          <w:szCs w:val="20"/>
        </w:rPr>
        <w:t xml:space="preserve"> e </w:t>
      </w:r>
      <w:r w:rsidR="007D48A0">
        <w:rPr>
          <w:rFonts w:ascii="Tahoma" w:eastAsia="Arial" w:hAnsi="Tahoma" w:cs="Tahoma"/>
          <w:i/>
          <w:iCs/>
          <w:sz w:val="20"/>
          <w:szCs w:val="20"/>
        </w:rPr>
        <w:t xml:space="preserve">i prestiti per </w:t>
      </w:r>
      <w:r w:rsidR="007D48A0" w:rsidRPr="007D48A0">
        <w:rPr>
          <w:rFonts w:ascii="Tahoma" w:eastAsia="Arial" w:hAnsi="Tahoma" w:cs="Tahoma"/>
          <w:b/>
          <w:bCs/>
          <w:i/>
          <w:iCs/>
          <w:sz w:val="20"/>
          <w:szCs w:val="20"/>
        </w:rPr>
        <w:t>100 milioni</w:t>
      </w:r>
      <w:r w:rsidR="007D48A0">
        <w:rPr>
          <w:rFonts w:ascii="Tahoma" w:eastAsia="Arial" w:hAnsi="Tahoma" w:cs="Tahoma"/>
          <w:i/>
          <w:iCs/>
          <w:sz w:val="20"/>
          <w:szCs w:val="20"/>
        </w:rPr>
        <w:t xml:space="preserve"> a famiglie e imprese</w:t>
      </w:r>
    </w:p>
    <w:p w14:paraId="6D0F861C" w14:textId="10790499" w:rsidR="00395B5D" w:rsidRDefault="0007410F" w:rsidP="00E12B48">
      <w:pPr>
        <w:jc w:val="center"/>
        <w:rPr>
          <w:rFonts w:ascii="Tahoma" w:eastAsia="Arial" w:hAnsi="Tahoma" w:cs="Tahoma"/>
          <w:i/>
          <w:iCs/>
          <w:sz w:val="20"/>
          <w:szCs w:val="20"/>
        </w:rPr>
      </w:pPr>
      <w:r w:rsidRPr="007D48A0">
        <w:rPr>
          <w:rFonts w:ascii="Tahoma" w:eastAsia="Arial" w:hAnsi="Tahoma" w:cs="Tahoma"/>
          <w:i/>
          <w:iCs/>
          <w:sz w:val="20"/>
          <w:szCs w:val="20"/>
        </w:rPr>
        <w:t xml:space="preserve"> </w:t>
      </w:r>
    </w:p>
    <w:p w14:paraId="45796E99" w14:textId="77777777" w:rsidR="00520F88" w:rsidRDefault="00520F88" w:rsidP="00520F88">
      <w:pPr>
        <w:jc w:val="both"/>
        <w:rPr>
          <w:rFonts w:ascii="Tahoma" w:hAnsi="Tahoma" w:cs="Tahoma"/>
          <w:sz w:val="22"/>
          <w:szCs w:val="22"/>
        </w:rPr>
      </w:pPr>
    </w:p>
    <w:p w14:paraId="51B7ECD2" w14:textId="7F618BBF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Nella bella cornice del Teatro Rossini di Civitanova Marche, l’Assemblea, rappresentativa degli 11.856 Soci del Banco Marchigiano, ha approvato il </w:t>
      </w:r>
      <w:r w:rsidR="00E12B48">
        <w:rPr>
          <w:rFonts w:ascii="Tahoma" w:eastAsia="Arial" w:hAnsi="Tahoma" w:cs="Tahoma"/>
          <w:sz w:val="20"/>
          <w:szCs w:val="20"/>
        </w:rPr>
        <w:t>b</w:t>
      </w:r>
      <w:r>
        <w:rPr>
          <w:rFonts w:ascii="Tahoma" w:eastAsia="Arial" w:hAnsi="Tahoma" w:cs="Tahoma"/>
          <w:sz w:val="20"/>
          <w:szCs w:val="20"/>
        </w:rPr>
        <w:t xml:space="preserve">ilancio di </w:t>
      </w:r>
      <w:r w:rsidR="00E12B48">
        <w:rPr>
          <w:rFonts w:ascii="Tahoma" w:eastAsia="Arial" w:hAnsi="Tahoma" w:cs="Tahoma"/>
          <w:sz w:val="20"/>
          <w:szCs w:val="20"/>
        </w:rPr>
        <w:t>e</w:t>
      </w:r>
      <w:r>
        <w:rPr>
          <w:rFonts w:ascii="Tahoma" w:eastAsia="Arial" w:hAnsi="Tahoma" w:cs="Tahoma"/>
          <w:sz w:val="20"/>
          <w:szCs w:val="20"/>
        </w:rPr>
        <w:t>sercizio 2023.</w:t>
      </w:r>
    </w:p>
    <w:p w14:paraId="16CD84B6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Il Banco Marchigiano conferma il percorso di crescita intrapreso ed illustra il consuntivo 2023 con tutti gli indicatori patrimoniali, finanziari ed economici decisamente positivi.</w:t>
      </w:r>
    </w:p>
    <w:p w14:paraId="65690412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 </w:t>
      </w:r>
    </w:p>
    <w:p w14:paraId="08CE0B19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“Il valore generato, nello spirito di mutualità e reciprocità che contraddistingue il credito cooperativo, va a beneficio degli </w:t>
      </w:r>
      <w:r>
        <w:rPr>
          <w:rFonts w:ascii="Tahoma" w:eastAsia="Arial" w:hAnsi="Tahoma" w:cs="Tahoma"/>
          <w:i/>
          <w:iCs/>
          <w:sz w:val="20"/>
          <w:szCs w:val="20"/>
        </w:rPr>
        <w:t xml:space="preserve">stakeholder </w:t>
      </w:r>
      <w:r>
        <w:rPr>
          <w:rFonts w:ascii="Tahoma" w:eastAsia="Arial" w:hAnsi="Tahoma" w:cs="Tahoma"/>
          <w:sz w:val="20"/>
          <w:szCs w:val="20"/>
        </w:rPr>
        <w:t>della banca e delle comunità di riferimento” afferma il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Presidente Sandro Palombini</w:t>
      </w:r>
      <w:r>
        <w:rPr>
          <w:rFonts w:ascii="Tahoma" w:eastAsia="Arial" w:hAnsi="Tahoma" w:cs="Tahoma"/>
          <w:sz w:val="20"/>
          <w:szCs w:val="20"/>
        </w:rPr>
        <w:t xml:space="preserve">, “attraverso azioni concrete a sostegno delle principali iniziative sociali e culturali del territorio dove le nostre filiali operano; l’impegno finanziario nel 2023 nel campo della solidarietà e della responsabilità sociale è stato pari a circa </w:t>
      </w:r>
      <w:r w:rsidRPr="00C63AD8">
        <w:rPr>
          <w:rFonts w:ascii="Tahoma" w:eastAsia="Arial" w:hAnsi="Tahoma" w:cs="Tahoma"/>
          <w:b/>
          <w:bCs/>
          <w:sz w:val="20"/>
          <w:szCs w:val="20"/>
        </w:rPr>
        <w:t>500 mila euro</w:t>
      </w:r>
      <w:r>
        <w:rPr>
          <w:rFonts w:ascii="Tahoma" w:eastAsia="Arial" w:hAnsi="Tahoma" w:cs="Tahoma"/>
          <w:sz w:val="20"/>
          <w:szCs w:val="20"/>
        </w:rPr>
        <w:t xml:space="preserve"> destinati a progetti sportivi, culturali, ambientali oltre che per la sanità locale”.</w:t>
      </w:r>
    </w:p>
    <w:p w14:paraId="638C686A" w14:textId="77777777" w:rsidR="00B95DEA" w:rsidRDefault="00B95DEA" w:rsidP="00B95DEA">
      <w:pPr>
        <w:jc w:val="both"/>
        <w:rPr>
          <w:rFonts w:ascii="Tahoma" w:eastAsia="Arial" w:hAnsi="Tahoma" w:cs="Tahoma"/>
          <w:strike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Numerosi sono stati gli interventi di revisione dei tassi dei mutui alle famiglie, sia per i clienti che per i dipendenti, per fronteggiare le difficoltà rivenienti dall’aumento dei tassi e delle rate.</w:t>
      </w:r>
      <w:r>
        <w:rPr>
          <w:rFonts w:ascii="Tahoma" w:eastAsia="Arial" w:hAnsi="Tahoma" w:cs="Tahoma"/>
          <w:strike/>
          <w:sz w:val="20"/>
          <w:szCs w:val="20"/>
        </w:rPr>
        <w:t xml:space="preserve"> </w:t>
      </w:r>
    </w:p>
    <w:p w14:paraId="1C8E9C67" w14:textId="63D9C27E" w:rsidR="00B95DEA" w:rsidRPr="007D48A0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 w:rsidRPr="007D48A0">
        <w:rPr>
          <w:rFonts w:ascii="Tahoma" w:eastAsia="Arial" w:hAnsi="Tahoma" w:cs="Tahoma"/>
          <w:sz w:val="20"/>
          <w:szCs w:val="20"/>
        </w:rPr>
        <w:t xml:space="preserve">Nonostante un quadro congiunturale ancora caratterizzato da segnali di debolezza e da una crescita economica pressoché nulla, la banca ha erogato nel corso del 2023 prestiti a famiglie e imprese per </w:t>
      </w:r>
      <w:r w:rsidRPr="007D48A0">
        <w:rPr>
          <w:rFonts w:ascii="Tahoma" w:eastAsia="Arial" w:hAnsi="Tahoma" w:cs="Tahoma"/>
          <w:b/>
          <w:bCs/>
          <w:sz w:val="20"/>
          <w:szCs w:val="20"/>
          <w:u w:val="single"/>
        </w:rPr>
        <w:t>circa 100 milioni di euro</w:t>
      </w:r>
      <w:r w:rsidRPr="007D48A0">
        <w:rPr>
          <w:rFonts w:ascii="Tahoma" w:eastAsia="Arial" w:hAnsi="Tahoma" w:cs="Tahoma"/>
          <w:sz w:val="20"/>
          <w:szCs w:val="20"/>
        </w:rPr>
        <w:t xml:space="preserve">, svolgendo un ruolo di sostegno all’economia del territorio. </w:t>
      </w:r>
    </w:p>
    <w:p w14:paraId="2612D27E" w14:textId="77777777" w:rsidR="00B95DEA" w:rsidRPr="007D48A0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</w:p>
    <w:p w14:paraId="3B21F2A8" w14:textId="77777777" w:rsidR="00B95DEA" w:rsidRPr="007D48A0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 w:rsidRPr="00B95DEA">
        <w:rPr>
          <w:rFonts w:ascii="Tahoma" w:eastAsia="Arial" w:hAnsi="Tahoma" w:cs="Tahoma"/>
          <w:sz w:val="20"/>
          <w:szCs w:val="20"/>
        </w:rPr>
        <w:t xml:space="preserve">“Il Banco Marchigiano è un istituto appartenente al Gruppo Bancario Cooperativo Cassa Centrale Banca con sede a Trento” continua il </w:t>
      </w:r>
      <w:r w:rsidRPr="00B95DEA">
        <w:rPr>
          <w:rFonts w:ascii="Tahoma" w:eastAsia="Arial" w:hAnsi="Tahoma" w:cs="Tahoma"/>
          <w:b/>
          <w:bCs/>
          <w:sz w:val="20"/>
          <w:szCs w:val="20"/>
        </w:rPr>
        <w:t>Vice Presidente e Amministratore delegato ai rapporti con il credito cooperativo</w:t>
      </w:r>
      <w:r w:rsidRPr="00B95DEA">
        <w:rPr>
          <w:rFonts w:ascii="Tahoma" w:eastAsia="Arial" w:hAnsi="Tahoma" w:cs="Tahoma"/>
          <w:sz w:val="20"/>
          <w:szCs w:val="20"/>
        </w:rPr>
        <w:t xml:space="preserve"> </w:t>
      </w:r>
      <w:r w:rsidRPr="00B95DEA">
        <w:rPr>
          <w:rFonts w:ascii="Tahoma" w:eastAsia="Arial" w:hAnsi="Tahoma" w:cs="Tahoma"/>
          <w:b/>
          <w:bCs/>
          <w:sz w:val="20"/>
          <w:szCs w:val="20"/>
        </w:rPr>
        <w:t>Marco Bindelli</w:t>
      </w:r>
      <w:r w:rsidRPr="00B95DEA">
        <w:rPr>
          <w:rFonts w:ascii="Tahoma" w:eastAsia="Arial" w:hAnsi="Tahoma" w:cs="Tahoma"/>
          <w:sz w:val="20"/>
          <w:szCs w:val="20"/>
        </w:rPr>
        <w:t xml:space="preserve"> – Gruppo costituito 5 anni fa, che si conferma nel 2023 per solidità e patrimonializzazione, ai massimi livelli del settore bancario e che continua ad effettuare importanti investimenti in tecnologia ed evoluzione del modello di servizio per essere ancora più vicini ai nostri soci e clienti”.</w:t>
      </w:r>
    </w:p>
    <w:p w14:paraId="2066EA6E" w14:textId="77777777" w:rsidR="00B95DEA" w:rsidRPr="007D48A0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</w:p>
    <w:p w14:paraId="273C37CF" w14:textId="77777777" w:rsidR="00B95DEA" w:rsidRDefault="00B95DEA" w:rsidP="00B95DEA">
      <w:pPr>
        <w:pStyle w:val="Corpotesto"/>
        <w:spacing w:after="0"/>
        <w:jc w:val="both"/>
        <w:rPr>
          <w:rFonts w:ascii="Tahoma" w:eastAsiaTheme="minorHAnsi" w:hAnsi="Tahoma" w:cs="Tahoma"/>
          <w:iCs/>
          <w:sz w:val="20"/>
          <w:szCs w:val="20"/>
          <w:lang w:eastAsia="en-US"/>
        </w:rPr>
      </w:pPr>
      <w:r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“Vorremmo essere sempre più il punto di riferimento per famiglie e imprese – dice il </w:t>
      </w:r>
      <w:r>
        <w:rPr>
          <w:rFonts w:ascii="Tahoma" w:eastAsiaTheme="minorHAnsi" w:hAnsi="Tahoma" w:cs="Tahoma"/>
          <w:b/>
          <w:bCs/>
          <w:iCs/>
          <w:sz w:val="20"/>
          <w:szCs w:val="20"/>
          <w:lang w:eastAsia="en-US"/>
        </w:rPr>
        <w:t>Direttore Generale Massimo Tombolini</w:t>
      </w:r>
      <w:r>
        <w:rPr>
          <w:rFonts w:ascii="Tahoma" w:eastAsiaTheme="minorHAnsi" w:hAnsi="Tahoma" w:cs="Tahoma"/>
          <w:iCs/>
          <w:sz w:val="20"/>
          <w:szCs w:val="20"/>
          <w:lang w:eastAsia="en-US"/>
        </w:rPr>
        <w:t>, al suo primo anno di guida della Banca – grazie all’ampliamento dei servizi offerti e agli interventi volti a migliorare la specializzazione dei nostri consulenti di Filiale.</w:t>
      </w:r>
    </w:p>
    <w:p w14:paraId="4C35BC5E" w14:textId="77777777" w:rsidR="00B95DEA" w:rsidRDefault="00B95DEA" w:rsidP="00B95DEA">
      <w:pPr>
        <w:pStyle w:val="Corpotesto"/>
        <w:spacing w:after="0"/>
        <w:jc w:val="both"/>
        <w:rPr>
          <w:rFonts w:ascii="Tahoma" w:eastAsiaTheme="minorHAnsi" w:hAnsi="Tahoma" w:cs="Tahoma"/>
          <w:iCs/>
          <w:sz w:val="20"/>
          <w:szCs w:val="20"/>
          <w:lang w:eastAsia="en-US"/>
        </w:rPr>
      </w:pPr>
      <w:r>
        <w:rPr>
          <w:rFonts w:ascii="Tahoma" w:eastAsia="Arial" w:hAnsi="Tahoma" w:cs="Tahoma"/>
          <w:sz w:val="20"/>
          <w:szCs w:val="20"/>
        </w:rPr>
        <w:t xml:space="preserve">La raccolta complessiva sfiora 1,4 miliardi di euro: è cresciuta di oltre 113 milioni di euro (+9% rispetto all’anno precedente) e l’incremento ha riguardato sia la componente diretta che quella gestita e amministrata; si tratta di un segnale di grande fiducia che soci e clienti ripongono nel Banco Marchigiano soprattutto per quanto riguarda la crescita della raccolta diretta (+ 4,2% rispetto al 2022) che </w:t>
      </w:r>
      <w:r w:rsidRPr="007D48A0">
        <w:rPr>
          <w:rFonts w:ascii="Tahoma" w:eastAsia="Arial" w:hAnsi="Tahoma" w:cs="Tahoma"/>
          <w:sz w:val="20"/>
          <w:szCs w:val="20"/>
        </w:rPr>
        <w:t>evidenzia un andamento in controtendenza rispetto al calo che il sistema ha registrato a livello nazionale (- 1,5% dicembre 2023 rispetto all’anno precedente – fonte ABI)”.</w:t>
      </w:r>
    </w:p>
    <w:p w14:paraId="44883685" w14:textId="77777777" w:rsidR="00B95DEA" w:rsidRPr="007D48A0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</w:p>
    <w:p w14:paraId="38A05406" w14:textId="77777777" w:rsidR="00B95DEA" w:rsidRPr="007D48A0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 w:rsidRPr="007D48A0">
        <w:rPr>
          <w:rFonts w:ascii="Tahoma" w:eastAsia="Arial" w:hAnsi="Tahoma" w:cs="Tahoma"/>
          <w:sz w:val="20"/>
          <w:szCs w:val="20"/>
        </w:rPr>
        <w:t xml:space="preserve">Nell’anno in cui la Banca ha festeggiato il 125° anniversario, l’utile netto ha registrato </w:t>
      </w:r>
      <w:r w:rsidRPr="007D48A0">
        <w:rPr>
          <w:rFonts w:ascii="Tahoma" w:eastAsia="Arial" w:hAnsi="Tahoma" w:cs="Tahoma"/>
          <w:b/>
          <w:bCs/>
          <w:sz w:val="20"/>
          <w:szCs w:val="20"/>
          <w:u w:val="single"/>
        </w:rPr>
        <w:t>8,2 milioni di euro</w:t>
      </w:r>
      <w:r w:rsidRPr="007D48A0">
        <w:rPr>
          <w:rFonts w:ascii="Tahoma" w:eastAsia="Arial" w:hAnsi="Tahoma" w:cs="Tahoma"/>
          <w:sz w:val="20"/>
          <w:szCs w:val="20"/>
        </w:rPr>
        <w:t>, in crescita di quasi 5 milioni rispetto all’anno precedente (+156%); tale risultato, influenzato dalla dinamica dei tassi di interesse di mercato, è anche frutto di un’attenta e sana gestione manageriale della banca, che ha migliorato gli indici di redditività, di produttività e rischiosità.</w:t>
      </w:r>
    </w:p>
    <w:p w14:paraId="79C43D7F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lastRenderedPageBreak/>
        <w:t xml:space="preserve">Al netto delle componenti straordinarie, si registra una decisa flessione del </w:t>
      </w:r>
      <w:r>
        <w:rPr>
          <w:rFonts w:ascii="Tahoma" w:eastAsia="Arial" w:hAnsi="Tahoma" w:cs="Tahoma"/>
          <w:i/>
          <w:iCs/>
          <w:sz w:val="20"/>
          <w:szCs w:val="20"/>
        </w:rPr>
        <w:t xml:space="preserve">Cost </w:t>
      </w:r>
      <w:proofErr w:type="spellStart"/>
      <w:r>
        <w:rPr>
          <w:rFonts w:ascii="Tahoma" w:eastAsia="Arial" w:hAnsi="Tahoma" w:cs="Tahoma"/>
          <w:i/>
          <w:iCs/>
          <w:sz w:val="20"/>
          <w:szCs w:val="20"/>
        </w:rPr>
        <w:t>Income</w:t>
      </w:r>
      <w:proofErr w:type="spellEnd"/>
      <w:r>
        <w:rPr>
          <w:rFonts w:ascii="Tahoma" w:eastAsia="Arial" w:hAnsi="Tahoma" w:cs="Tahoma"/>
          <w:sz w:val="20"/>
          <w:szCs w:val="20"/>
        </w:rPr>
        <w:t xml:space="preserve"> primario, che scende dal 75,4% del 2022 al 57,3% del 2023: tale flessione deriva dal progressivo rafforzamento della redditività impressa dalla gestione caratteristica della Banca.</w:t>
      </w:r>
    </w:p>
    <w:p w14:paraId="787830BD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</w:p>
    <w:p w14:paraId="35F2A963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Anche il portafoglio Impieghi a Clientela, che si attesta a 533 milioni di euro, migliora la sua qualità, grazie alla riduzione dei crediti deteriorati e ai maggiori accantonamenti effettuati sulle posizioni deteriorate che fanno crescere l’indice di copertura complessivo al 79,2% (+ 4,5% rispetto all’anno precedente).</w:t>
      </w:r>
    </w:p>
    <w:p w14:paraId="39591601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</w:p>
    <w:p w14:paraId="29ADF271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L’utile conseguito ha contribuito al rafforzamento patrimoniale dell’istituto che raggiunge 89 milioni di Patrimonio Netto, in aumento di 8,5 milioni rispetto al 2022 (+10,6%).</w:t>
      </w:r>
    </w:p>
    <w:p w14:paraId="113A96DF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</w:p>
    <w:p w14:paraId="0FBA96DF" w14:textId="77777777" w:rsidR="00B95DEA" w:rsidRDefault="00B95DEA" w:rsidP="00B95DEA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La Banca ha pertanto proseguito il percorso di rafforzamento patrimoniale migliorando sia il CET 1 pari al 21,72% (+1,95% rispetto al 2022) che il </w:t>
      </w:r>
      <w:r>
        <w:rPr>
          <w:rFonts w:ascii="Tahoma" w:eastAsia="Arial" w:hAnsi="Tahoma" w:cs="Tahoma"/>
          <w:i/>
          <w:iCs/>
          <w:sz w:val="20"/>
          <w:szCs w:val="20"/>
        </w:rPr>
        <w:t>Total Capital Ratio</w:t>
      </w:r>
      <w:r>
        <w:rPr>
          <w:rFonts w:ascii="Tahoma" w:eastAsia="Arial" w:hAnsi="Tahoma" w:cs="Tahoma"/>
          <w:sz w:val="20"/>
          <w:szCs w:val="20"/>
        </w:rPr>
        <w:t xml:space="preserve"> pari al 22,75% (+1,2% rispetto al 2022), indicatori che evidenziano la forza e la solidità della Banca e che garantiscono un’ampia copertura dei rischi di credito, di mercato e operativi.</w:t>
      </w:r>
    </w:p>
    <w:p w14:paraId="38844009" w14:textId="77777777" w:rsidR="00397B31" w:rsidRDefault="00397B31" w:rsidP="00087BFB">
      <w:pPr>
        <w:jc w:val="both"/>
        <w:rPr>
          <w:rFonts w:ascii="Tahoma" w:eastAsia="Tahoma" w:hAnsi="Tahoma" w:cs="Tahoma"/>
          <w:i/>
          <w:sz w:val="18"/>
          <w:szCs w:val="18"/>
        </w:rPr>
      </w:pPr>
    </w:p>
    <w:p w14:paraId="519FC0E5" w14:textId="1D148D7A" w:rsidR="00087BFB" w:rsidRPr="00195ABA" w:rsidRDefault="00087BFB" w:rsidP="00087BFB">
      <w:pPr>
        <w:jc w:val="both"/>
        <w:rPr>
          <w:rFonts w:ascii="Tahoma" w:eastAsia="Tahoma" w:hAnsi="Tahoma" w:cs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---</w:t>
      </w:r>
    </w:p>
    <w:p w14:paraId="78B7F96A" w14:textId="77777777" w:rsidR="00087BFB" w:rsidRPr="00195ABA" w:rsidRDefault="00087BFB" w:rsidP="00087BFB">
      <w:pPr>
        <w:jc w:val="both"/>
        <w:rPr>
          <w:rFonts w:ascii="Tahoma" w:eastAsia="Tahoma" w:hAnsi="Tahoma" w:cs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44E861C0" w14:textId="77777777" w:rsidR="00087BFB" w:rsidRPr="00195ABA" w:rsidRDefault="00087BFB" w:rsidP="00087BFB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195ABA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21FAE189" w14:textId="77777777" w:rsidR="00087BFB" w:rsidRPr="00195ABA" w:rsidRDefault="00087BFB" w:rsidP="00087BFB">
      <w:pPr>
        <w:jc w:val="both"/>
        <w:rPr>
          <w:rFonts w:ascii="Tahoma" w:eastAsia="Tahoma" w:hAnsi="Tahoma" w:cs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434B2C39" w14:textId="30C26B73" w:rsidR="00E94BC6" w:rsidRPr="00195ABA" w:rsidRDefault="00087BFB" w:rsidP="001B5A09">
      <w:pPr>
        <w:jc w:val="both"/>
        <w:rPr>
          <w:rFonts w:eastAsia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M. 3398399859</w:t>
      </w:r>
    </w:p>
    <w:sectPr w:rsidR="00E94BC6" w:rsidRPr="00195ABA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3E90" w14:textId="77777777" w:rsidR="00544C5E" w:rsidRDefault="00544C5E" w:rsidP="00544C5E">
    <w:pPr>
      <w:pStyle w:val="Intestazione"/>
      <w:jc w:val="center"/>
    </w:pPr>
  </w:p>
  <w:p w14:paraId="21C7D881" w14:textId="2AA66C9C" w:rsidR="00544C5E" w:rsidRDefault="000A6444" w:rsidP="00544C5E">
    <w:pPr>
      <w:pStyle w:val="Intestazione"/>
      <w:jc w:val="center"/>
    </w:pPr>
    <w:r>
      <w:rPr>
        <w:noProof/>
      </w:rPr>
      <w:drawing>
        <wp:inline distT="0" distB="0" distL="0" distR="0" wp14:anchorId="4DA166B3" wp14:editId="43EDCC8D">
          <wp:extent cx="3321620" cy="1067251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575" cy="1079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9D91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4"/>
  </w:num>
  <w:num w:numId="2" w16cid:durableId="1437821710">
    <w:abstractNumId w:val="3"/>
  </w:num>
  <w:num w:numId="3" w16cid:durableId="1179349213">
    <w:abstractNumId w:val="0"/>
  </w:num>
  <w:num w:numId="4" w16cid:durableId="1790472445">
    <w:abstractNumId w:val="9"/>
  </w:num>
  <w:num w:numId="5" w16cid:durableId="2091003973">
    <w:abstractNumId w:val="7"/>
  </w:num>
  <w:num w:numId="6" w16cid:durableId="1352950040">
    <w:abstractNumId w:val="8"/>
  </w:num>
  <w:num w:numId="7" w16cid:durableId="286084730">
    <w:abstractNumId w:val="5"/>
  </w:num>
  <w:num w:numId="8" w16cid:durableId="1440491503">
    <w:abstractNumId w:val="2"/>
  </w:num>
  <w:num w:numId="9" w16cid:durableId="929050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5A99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78B8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240AE"/>
    <w:rsid w:val="00130A74"/>
    <w:rsid w:val="00130F73"/>
    <w:rsid w:val="00131A6F"/>
    <w:rsid w:val="00133535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1292"/>
    <w:rsid w:val="00163DBB"/>
    <w:rsid w:val="00164728"/>
    <w:rsid w:val="00165A22"/>
    <w:rsid w:val="001726F0"/>
    <w:rsid w:val="001760F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4F5B"/>
    <w:rsid w:val="00265274"/>
    <w:rsid w:val="0026596D"/>
    <w:rsid w:val="00266BB6"/>
    <w:rsid w:val="00271CB2"/>
    <w:rsid w:val="00272916"/>
    <w:rsid w:val="002742B2"/>
    <w:rsid w:val="00275658"/>
    <w:rsid w:val="002772BF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602FD"/>
    <w:rsid w:val="00362DD4"/>
    <w:rsid w:val="003700E9"/>
    <w:rsid w:val="00371E19"/>
    <w:rsid w:val="00372776"/>
    <w:rsid w:val="003742EB"/>
    <w:rsid w:val="00380997"/>
    <w:rsid w:val="00382E9E"/>
    <w:rsid w:val="00383FB3"/>
    <w:rsid w:val="00385F4B"/>
    <w:rsid w:val="003873FE"/>
    <w:rsid w:val="00390A58"/>
    <w:rsid w:val="00395163"/>
    <w:rsid w:val="003954EB"/>
    <w:rsid w:val="00395B5D"/>
    <w:rsid w:val="00396967"/>
    <w:rsid w:val="00397B31"/>
    <w:rsid w:val="003A2AE4"/>
    <w:rsid w:val="003A62DD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CA9"/>
    <w:rsid w:val="003E4862"/>
    <w:rsid w:val="003E5B19"/>
    <w:rsid w:val="003E5F6F"/>
    <w:rsid w:val="003E67CE"/>
    <w:rsid w:val="003E68E0"/>
    <w:rsid w:val="003F3F3B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5587D"/>
    <w:rsid w:val="00456D25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52F9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064D"/>
    <w:rsid w:val="004F187E"/>
    <w:rsid w:val="004F2422"/>
    <w:rsid w:val="004F4227"/>
    <w:rsid w:val="004F5B19"/>
    <w:rsid w:val="00500EAE"/>
    <w:rsid w:val="005068CD"/>
    <w:rsid w:val="00510512"/>
    <w:rsid w:val="00511EA5"/>
    <w:rsid w:val="005140B4"/>
    <w:rsid w:val="005150B3"/>
    <w:rsid w:val="00516018"/>
    <w:rsid w:val="005176BF"/>
    <w:rsid w:val="00520F88"/>
    <w:rsid w:val="00525BDF"/>
    <w:rsid w:val="0053356E"/>
    <w:rsid w:val="005342CF"/>
    <w:rsid w:val="005360FF"/>
    <w:rsid w:val="0054316B"/>
    <w:rsid w:val="00544C5E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57EA6"/>
    <w:rsid w:val="005612CE"/>
    <w:rsid w:val="00563907"/>
    <w:rsid w:val="0056619D"/>
    <w:rsid w:val="005712B2"/>
    <w:rsid w:val="0057158F"/>
    <w:rsid w:val="00571D4D"/>
    <w:rsid w:val="00574B69"/>
    <w:rsid w:val="0058580A"/>
    <w:rsid w:val="00586D3A"/>
    <w:rsid w:val="00592AA0"/>
    <w:rsid w:val="00593050"/>
    <w:rsid w:val="00597671"/>
    <w:rsid w:val="005A137F"/>
    <w:rsid w:val="005A2424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26A4C"/>
    <w:rsid w:val="00626D6F"/>
    <w:rsid w:val="00631232"/>
    <w:rsid w:val="00631F64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2676"/>
    <w:rsid w:val="00683BA1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D01B0"/>
    <w:rsid w:val="006D3218"/>
    <w:rsid w:val="006D3B4D"/>
    <w:rsid w:val="006D456C"/>
    <w:rsid w:val="006D669D"/>
    <w:rsid w:val="006D6FFC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519D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5975"/>
    <w:rsid w:val="008466A2"/>
    <w:rsid w:val="00847779"/>
    <w:rsid w:val="00851020"/>
    <w:rsid w:val="00853849"/>
    <w:rsid w:val="00856717"/>
    <w:rsid w:val="008577A9"/>
    <w:rsid w:val="008619A7"/>
    <w:rsid w:val="0086296B"/>
    <w:rsid w:val="008636A4"/>
    <w:rsid w:val="00864811"/>
    <w:rsid w:val="00865607"/>
    <w:rsid w:val="00865E05"/>
    <w:rsid w:val="008734D4"/>
    <w:rsid w:val="00874498"/>
    <w:rsid w:val="00875CA4"/>
    <w:rsid w:val="00877BDE"/>
    <w:rsid w:val="00881A14"/>
    <w:rsid w:val="0088268A"/>
    <w:rsid w:val="00883233"/>
    <w:rsid w:val="008853A2"/>
    <w:rsid w:val="00890BCD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4D2E"/>
    <w:rsid w:val="008B59B0"/>
    <w:rsid w:val="008C136A"/>
    <w:rsid w:val="008C2AF5"/>
    <w:rsid w:val="008C3F7D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577B"/>
    <w:rsid w:val="00910C6F"/>
    <w:rsid w:val="00911BC4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FE1"/>
    <w:rsid w:val="00931DC0"/>
    <w:rsid w:val="00932737"/>
    <w:rsid w:val="00933943"/>
    <w:rsid w:val="00933C29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52FF9"/>
    <w:rsid w:val="009530CC"/>
    <w:rsid w:val="00953116"/>
    <w:rsid w:val="00953930"/>
    <w:rsid w:val="00953CA0"/>
    <w:rsid w:val="00954F3D"/>
    <w:rsid w:val="00955AE1"/>
    <w:rsid w:val="00964676"/>
    <w:rsid w:val="009659E6"/>
    <w:rsid w:val="00971407"/>
    <w:rsid w:val="00973173"/>
    <w:rsid w:val="00974613"/>
    <w:rsid w:val="009764C2"/>
    <w:rsid w:val="00977139"/>
    <w:rsid w:val="009776F6"/>
    <w:rsid w:val="00980C18"/>
    <w:rsid w:val="00980E3E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23D6"/>
    <w:rsid w:val="00A84F3F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4B7"/>
    <w:rsid w:val="00AB07B5"/>
    <w:rsid w:val="00AB28DA"/>
    <w:rsid w:val="00AB5A88"/>
    <w:rsid w:val="00AC2379"/>
    <w:rsid w:val="00AC2E3A"/>
    <w:rsid w:val="00AC48DC"/>
    <w:rsid w:val="00AC4C2E"/>
    <w:rsid w:val="00AC4EB2"/>
    <w:rsid w:val="00AC764E"/>
    <w:rsid w:val="00AD332D"/>
    <w:rsid w:val="00AD5302"/>
    <w:rsid w:val="00AD56DA"/>
    <w:rsid w:val="00AD6168"/>
    <w:rsid w:val="00AD7B55"/>
    <w:rsid w:val="00AE0A9A"/>
    <w:rsid w:val="00AE0AB4"/>
    <w:rsid w:val="00AE52AC"/>
    <w:rsid w:val="00AE57BD"/>
    <w:rsid w:val="00AE5D43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308E"/>
    <w:rsid w:val="00B255EA"/>
    <w:rsid w:val="00B2753E"/>
    <w:rsid w:val="00B277B6"/>
    <w:rsid w:val="00B31857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5DEA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70433"/>
    <w:rsid w:val="00C727A8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9F6"/>
    <w:rsid w:val="00D72747"/>
    <w:rsid w:val="00D729E3"/>
    <w:rsid w:val="00D74088"/>
    <w:rsid w:val="00D745DE"/>
    <w:rsid w:val="00D862AE"/>
    <w:rsid w:val="00D90964"/>
    <w:rsid w:val="00D916B3"/>
    <w:rsid w:val="00D924F9"/>
    <w:rsid w:val="00D9409E"/>
    <w:rsid w:val="00D95662"/>
    <w:rsid w:val="00D9575F"/>
    <w:rsid w:val="00D95E2A"/>
    <w:rsid w:val="00DA7FD2"/>
    <w:rsid w:val="00DB096E"/>
    <w:rsid w:val="00DB1C3F"/>
    <w:rsid w:val="00DB2C7D"/>
    <w:rsid w:val="00DB5A5D"/>
    <w:rsid w:val="00DB6BAA"/>
    <w:rsid w:val="00DB7723"/>
    <w:rsid w:val="00DB7E40"/>
    <w:rsid w:val="00DC1C98"/>
    <w:rsid w:val="00DC30B9"/>
    <w:rsid w:val="00DC6597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349E5"/>
    <w:rsid w:val="00E40EA0"/>
    <w:rsid w:val="00E42E7F"/>
    <w:rsid w:val="00E4570B"/>
    <w:rsid w:val="00E47C36"/>
    <w:rsid w:val="00E529BC"/>
    <w:rsid w:val="00E6040C"/>
    <w:rsid w:val="00E61EE9"/>
    <w:rsid w:val="00E637A7"/>
    <w:rsid w:val="00E64B0C"/>
    <w:rsid w:val="00E65208"/>
    <w:rsid w:val="00E6607F"/>
    <w:rsid w:val="00E66437"/>
    <w:rsid w:val="00E675C8"/>
    <w:rsid w:val="00E67B8C"/>
    <w:rsid w:val="00E70AF5"/>
    <w:rsid w:val="00E7196D"/>
    <w:rsid w:val="00E71C61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219AB"/>
    <w:rsid w:val="00F257C3"/>
    <w:rsid w:val="00F27216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B4A7E"/>
    <w:rsid w:val="00FB5C48"/>
    <w:rsid w:val="00FC39D2"/>
    <w:rsid w:val="00FC60D9"/>
    <w:rsid w:val="00FC6700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2024-05-06T14:27:00Z</dcterms:created>
  <dcterms:modified xsi:type="dcterms:W3CDTF">2024-05-06T14:27:00Z</dcterms:modified>
</cp:coreProperties>
</file>