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251A0" w14:textId="77777777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bookmarkStart w:id="0" w:name="_GoBack"/>
      <w:bookmarkEnd w:id="0"/>
      <w:r>
        <w:rPr>
          <w:rFonts w:ascii="Tahoma" w:eastAsia="Tahoma" w:hAnsi="Tahoma" w:cs="Tahoma"/>
          <w:sz w:val="20"/>
        </w:rPr>
        <w:t>Civitanova Marche (Mc), 27 maggio 2021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A59CD2F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 n. 12/2020</w:t>
      </w:r>
    </w:p>
    <w:p w14:paraId="6B6ADD5D" w14:textId="08BAAD55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</w:p>
    <w:p w14:paraId="7C98509F" w14:textId="77777777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</w:p>
    <w:p w14:paraId="7DBB1997" w14:textId="77777777" w:rsidR="00087BFB" w:rsidRPr="005C724C" w:rsidRDefault="00087BFB" w:rsidP="00087BFB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5C724C">
        <w:rPr>
          <w:rFonts w:ascii="Tahoma" w:eastAsia="Tahoma" w:hAnsi="Tahoma" w:cs="Tahoma"/>
          <w:b/>
          <w:bCs/>
          <w:sz w:val="28"/>
          <w:szCs w:val="28"/>
        </w:rPr>
        <w:t xml:space="preserve">Assemblea dei Soci: approvato il bilancio 2020 </w:t>
      </w:r>
    </w:p>
    <w:p w14:paraId="0DD1A9C6" w14:textId="77777777" w:rsidR="00087BFB" w:rsidRPr="005C724C" w:rsidRDefault="00087BFB" w:rsidP="00087BFB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5C724C">
        <w:rPr>
          <w:rFonts w:ascii="Tahoma" w:eastAsia="Tahoma" w:hAnsi="Tahoma" w:cs="Tahoma"/>
          <w:b/>
          <w:bCs/>
          <w:sz w:val="28"/>
          <w:szCs w:val="28"/>
        </w:rPr>
        <w:t xml:space="preserve">e nominato il nuovo Consiglio di Amministrazione </w:t>
      </w:r>
    </w:p>
    <w:p w14:paraId="3F6AC468" w14:textId="77777777" w:rsidR="00087BFB" w:rsidRPr="002C12E8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7046B38B" w14:textId="77777777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7DFD9B73" w14:textId="386405FE" w:rsidR="00087BFB" w:rsidRPr="002C12E8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>Continuare nella politica della crescita e dello sviluppo; confermare il ruolo di promotore di reti sinergiche con le eccellenze marchigiane; sostenere il territorio, le famiglie e le imprese; portare a termine il progetto di aggregazione con la Banca del Gran Sasso; sostenere le Marche in questa difficile fase di ripresa socio-economica dal periodo pandemico. Sono solo alcune delle sfide che si pone il Banco Marchigiano per il prossimo futuro.</w:t>
      </w:r>
    </w:p>
    <w:p w14:paraId="05418A89" w14:textId="77777777" w:rsidR="00087BFB" w:rsidRPr="002C12E8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>Anche di questo si è parlato durante l’Assemblea dei Soci che si è tenuta al cineteatro Rossini di Civitanova.</w:t>
      </w:r>
    </w:p>
    <w:p w14:paraId="3E6C51B5" w14:textId="77777777" w:rsidR="00087BFB" w:rsidRPr="002C12E8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 xml:space="preserve">“Il 2020 è stato l’anno della pandemia – dice il Presidente </w:t>
      </w:r>
      <w:r w:rsidRPr="002C12E8">
        <w:rPr>
          <w:rFonts w:ascii="Tahoma" w:eastAsia="Tahoma" w:hAnsi="Tahoma" w:cs="Tahoma"/>
          <w:b/>
          <w:bCs/>
          <w:sz w:val="20"/>
          <w:szCs w:val="20"/>
        </w:rPr>
        <w:t>Sandro Palombini</w:t>
      </w:r>
      <w:r w:rsidRPr="002C12E8">
        <w:rPr>
          <w:rFonts w:ascii="Tahoma" w:eastAsia="Tahoma" w:hAnsi="Tahoma" w:cs="Tahoma"/>
          <w:sz w:val="20"/>
          <w:szCs w:val="20"/>
        </w:rPr>
        <w:t xml:space="preserve"> - con ripercussioni che si sono riversate su tutti i settori economici del Paese e del mondo. Noi abbiamo continuato nella nostra missione primaria di sostenere il territorio, famiglie e imprese, e tentare di dare loro un supporto, rapido ed efficace, in questo periodo così complicato”.</w:t>
      </w:r>
    </w:p>
    <w:p w14:paraId="5C875F79" w14:textId="77777777" w:rsidR="00087BFB" w:rsidRPr="002C12E8" w:rsidRDefault="00087BFB" w:rsidP="00087BFB">
      <w:pPr>
        <w:spacing w:line="0" w:lineRule="atLeast"/>
        <w:jc w:val="both"/>
        <w:rPr>
          <w:rFonts w:ascii="Tahoma" w:eastAsia="Arial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 xml:space="preserve">Volge lo sguardo allo sviluppo del Banco il Vice Presidente e Amministratore delegato ai rapporti col Credito Cooperativo, </w:t>
      </w:r>
      <w:r w:rsidRPr="002C12E8">
        <w:rPr>
          <w:rFonts w:ascii="Tahoma" w:eastAsia="Tahoma" w:hAnsi="Tahoma" w:cs="Tahoma"/>
          <w:b/>
          <w:bCs/>
          <w:sz w:val="20"/>
          <w:szCs w:val="20"/>
        </w:rPr>
        <w:t>Marco Bindelli</w:t>
      </w:r>
      <w:r w:rsidRPr="002C12E8">
        <w:rPr>
          <w:rFonts w:ascii="Tahoma" w:eastAsia="Tahoma" w:hAnsi="Tahoma" w:cs="Tahoma"/>
          <w:sz w:val="20"/>
          <w:szCs w:val="20"/>
        </w:rPr>
        <w:t>: “</w:t>
      </w:r>
      <w:r w:rsidRPr="002C12E8">
        <w:rPr>
          <w:rFonts w:ascii="Tahoma" w:eastAsia="Arial" w:hAnsi="Tahoma" w:cs="Tahoma"/>
          <w:sz w:val="20"/>
          <w:szCs w:val="20"/>
        </w:rPr>
        <w:t>I prossimi mesi vedranno il Banco Marchigiano ancora rivolto verso la crescita: stiamo lavorando, infatti, al progetto di aggregazione con la Banca del Gran Sasso d’Italia, una Banca piccola ma virtuosa, e in autunno il nuovo Istituto prenderà vita. Per la prima volta, dunque, ci apriremo ad un’area extraregionale accettando con entusiasmo la sfida di misurarci con nuovi territori, nuovi fabbisogni e nuove attività da sviluppare”.</w:t>
      </w:r>
    </w:p>
    <w:p w14:paraId="5066932D" w14:textId="77777777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hAnsi="Tahoma" w:cs="Tahoma"/>
          <w:sz w:val="20"/>
          <w:szCs w:val="20"/>
        </w:rPr>
        <w:t>Nel corso dell’Assemblea,</w:t>
      </w:r>
      <w:r w:rsidRPr="002C12E8">
        <w:rPr>
          <w:rFonts w:ascii="Tahoma" w:eastAsia="Tahoma" w:hAnsi="Tahoma" w:cs="Tahoma"/>
          <w:sz w:val="20"/>
          <w:szCs w:val="20"/>
        </w:rPr>
        <w:t xml:space="preserve"> organizzata in presenza e nel rispetto delle norme anti Covid, </w:t>
      </w:r>
      <w:r w:rsidRPr="002C12E8">
        <w:rPr>
          <w:rFonts w:ascii="Tahoma" w:hAnsi="Tahoma" w:cs="Tahoma"/>
          <w:sz w:val="20"/>
          <w:szCs w:val="20"/>
        </w:rPr>
        <w:t xml:space="preserve">sono state rinnovate le cariche sociali con l’elezione dei componenti il </w:t>
      </w:r>
      <w:r w:rsidRPr="00276BC1">
        <w:rPr>
          <w:rFonts w:ascii="Tahoma" w:hAnsi="Tahoma" w:cs="Tahoma"/>
          <w:b/>
          <w:bCs/>
          <w:sz w:val="20"/>
          <w:szCs w:val="20"/>
        </w:rPr>
        <w:t>nuovo Consiglio di Amministrazione</w:t>
      </w:r>
      <w:r w:rsidRPr="002C12E8">
        <w:rPr>
          <w:rFonts w:ascii="Tahoma" w:hAnsi="Tahoma" w:cs="Tahoma"/>
          <w:sz w:val="20"/>
          <w:szCs w:val="20"/>
        </w:rPr>
        <w:t xml:space="preserve">: Giuseppe Ascani, Marco Bindelli, Antonio Erme D’Agostino, </w:t>
      </w:r>
      <w:r w:rsidRPr="002C12E8">
        <w:rPr>
          <w:rFonts w:ascii="Tahoma" w:eastAsia="Tahoma" w:hAnsi="Tahoma" w:cs="Tahoma"/>
          <w:sz w:val="20"/>
          <w:szCs w:val="20"/>
        </w:rPr>
        <w:t xml:space="preserve">Carlo D’Angelo, Patrizio Frati, Claudio Marcantognini. </w:t>
      </w:r>
      <w:r w:rsidRPr="002C12E8">
        <w:rPr>
          <w:rFonts w:ascii="Tahoma" w:hAnsi="Tahoma" w:cs="Tahoma"/>
          <w:sz w:val="20"/>
          <w:szCs w:val="20"/>
        </w:rPr>
        <w:t>Giuseppe Montelpare, Sandro Palombini, Maria Tiziana Pepi.</w:t>
      </w:r>
      <w:r w:rsidRPr="002C12E8">
        <w:rPr>
          <w:rFonts w:ascii="Tahoma" w:eastAsia="Tahoma" w:hAnsi="Tahoma" w:cs="Tahoma"/>
          <w:sz w:val="20"/>
          <w:szCs w:val="20"/>
        </w:rPr>
        <w:t xml:space="preserve"> </w:t>
      </w:r>
    </w:p>
    <w:p w14:paraId="0A29069C" w14:textId="5F5D18C2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0D2438">
        <w:rPr>
          <w:rFonts w:ascii="Tahoma" w:eastAsia="Tahoma" w:hAnsi="Tahoma" w:cs="Tahoma"/>
          <w:sz w:val="20"/>
          <w:szCs w:val="20"/>
        </w:rPr>
        <w:t>Confermat</w:t>
      </w:r>
      <w:r>
        <w:rPr>
          <w:rFonts w:ascii="Tahoma" w:eastAsia="Tahoma" w:hAnsi="Tahoma" w:cs="Tahoma"/>
          <w:sz w:val="20"/>
          <w:szCs w:val="20"/>
        </w:rPr>
        <w:t xml:space="preserve">i, dal neo Consiglio di Amministrazione, </w:t>
      </w:r>
      <w:r w:rsidRPr="00527494">
        <w:rPr>
          <w:rFonts w:ascii="Tahoma" w:eastAsia="Tahoma" w:hAnsi="Tahoma" w:cs="Tahoma"/>
          <w:sz w:val="20"/>
          <w:szCs w:val="20"/>
        </w:rPr>
        <w:t>Presidente Sandro Palombini e suo Vice Marco Bindelli, anche amministratore delegato per i rapporti con il mondo del Credito Cooperativo.</w:t>
      </w:r>
    </w:p>
    <w:p w14:paraId="62EF394E" w14:textId="77777777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 xml:space="preserve">La compagine sociale ha inoltre approvato il bilancio 2020, il secondo da quando, nel dicembre del 2018, l’Istituto è nato dalla fusione della Bcc di Civitanova Marche e Montecosaro e della Banca di Suasa. </w:t>
      </w:r>
    </w:p>
    <w:p w14:paraId="0E764CBE" w14:textId="77777777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 w:rsidRPr="002C12E8">
        <w:rPr>
          <w:rFonts w:ascii="Tahoma" w:eastAsia="Tahoma" w:hAnsi="Tahoma" w:cs="Tahoma"/>
          <w:sz w:val="20"/>
          <w:szCs w:val="20"/>
        </w:rPr>
        <w:t xml:space="preserve">Un bilancio che vede il Direttore Generale </w:t>
      </w:r>
      <w:r w:rsidRPr="002C12E8">
        <w:rPr>
          <w:rFonts w:ascii="Tahoma" w:eastAsia="Tahoma" w:hAnsi="Tahoma" w:cs="Tahoma"/>
          <w:b/>
          <w:bCs/>
          <w:sz w:val="20"/>
          <w:szCs w:val="20"/>
        </w:rPr>
        <w:t>Marco Moreschi</w:t>
      </w:r>
      <w:r w:rsidRPr="002C12E8">
        <w:rPr>
          <w:rFonts w:ascii="Tahoma" w:eastAsia="Tahoma" w:hAnsi="Tahoma" w:cs="Tahoma"/>
          <w:sz w:val="20"/>
          <w:szCs w:val="20"/>
        </w:rPr>
        <w:t xml:space="preserve"> soddisfatto per il lavoro e i risultati finora conseguiti: “Abbiamo le carte in regola per essere un punto di riferimento per imprenditori, Istituzioni e per </w:t>
      </w:r>
      <w:r w:rsidRPr="00EF4D65">
        <w:rPr>
          <w:rFonts w:ascii="Tahoma" w:eastAsia="Tahoma" w:hAnsi="Tahoma" w:cs="Tahoma"/>
          <w:sz w:val="20"/>
          <w:szCs w:val="20"/>
        </w:rPr>
        <w:t>l’intero sistema Marche – dice il DG – sia per il nostro livello di patrimonializzazione che per la capacità di produrre reddito e la fortissima contrazione dei livelli di esposizione. Noi ci siamo e, anche nel difficile periodo pandemico, abbiamo mantenuto il livello del nostro servizio, con l’obiettivo di continuare a supportare il territorio nel fronteggiare le difficoltà economiche purtroppo generate dalla pandemia”.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6B6ABB9C" w14:textId="77777777" w:rsidR="00087BFB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</w:p>
    <w:p w14:paraId="78AC3E6A" w14:textId="77777777" w:rsidR="00087BFB" w:rsidRPr="00EF4D65" w:rsidRDefault="00087BFB" w:rsidP="00087BFB">
      <w:pPr>
        <w:spacing w:line="0" w:lineRule="atLeast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EF4D65">
        <w:rPr>
          <w:rFonts w:ascii="Tahoma" w:eastAsia="Tahoma" w:hAnsi="Tahoma" w:cs="Tahoma"/>
          <w:b/>
          <w:bCs/>
          <w:sz w:val="20"/>
          <w:szCs w:val="20"/>
        </w:rPr>
        <w:t>I numeri del bilancio 2020</w:t>
      </w:r>
    </w:p>
    <w:p w14:paraId="02E35455" w14:textId="26EA003D" w:rsidR="00087BFB" w:rsidRPr="00EF4D65" w:rsidRDefault="00087BFB" w:rsidP="00087BFB">
      <w:pPr>
        <w:spacing w:line="0" w:lineRule="atLeast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</w:t>
      </w:r>
      <w:r w:rsidRPr="00EF4D65">
        <w:rPr>
          <w:rFonts w:ascii="Tahoma" w:eastAsia="Tahoma" w:hAnsi="Tahoma" w:cs="Tahoma"/>
          <w:sz w:val="20"/>
          <w:szCs w:val="20"/>
        </w:rPr>
        <w:t>pazio ai numeri: l’</w:t>
      </w:r>
      <w:r w:rsidRPr="00EF4D65">
        <w:rPr>
          <w:rFonts w:ascii="Tahoma" w:eastAsia="Tahoma" w:hAnsi="Tahoma" w:cs="Tahoma"/>
          <w:b/>
          <w:bCs/>
          <w:sz w:val="20"/>
          <w:szCs w:val="20"/>
        </w:rPr>
        <w:t>utile netto</w:t>
      </w:r>
      <w:r w:rsidRPr="00EF4D65">
        <w:rPr>
          <w:rFonts w:ascii="Tahoma" w:eastAsia="Tahoma" w:hAnsi="Tahoma" w:cs="Tahoma"/>
          <w:sz w:val="20"/>
          <w:szCs w:val="20"/>
        </w:rPr>
        <w:t xml:space="preserve"> è stato di 5 mln di euro,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totale raccolta</w:t>
      </w:r>
      <w:r w:rsidRPr="00EF4D65">
        <w:rPr>
          <w:rFonts w:ascii="Tahoma" w:eastAsia="Tahoma" w:hAnsi="Tahoma" w:cs="Tahoma"/>
          <w:sz w:val="20"/>
          <w:szCs w:val="20"/>
        </w:rPr>
        <w:t xml:space="preserve"> + 9,52% con il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gestito</w:t>
      </w:r>
      <w:r w:rsidRPr="00EF4D65">
        <w:rPr>
          <w:rFonts w:ascii="Tahoma" w:eastAsia="Tahoma" w:hAnsi="Tahoma" w:cs="Tahoma"/>
          <w:sz w:val="20"/>
          <w:szCs w:val="20"/>
        </w:rPr>
        <w:t xml:space="preserve"> che segna una variazione del +36,01%; sviluppo degli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impieghi</w:t>
      </w:r>
      <w:r w:rsidRPr="00EF4D65">
        <w:rPr>
          <w:rFonts w:ascii="Tahoma" w:eastAsia="Tahoma" w:hAnsi="Tahoma" w:cs="Tahoma"/>
          <w:sz w:val="20"/>
          <w:szCs w:val="20"/>
        </w:rPr>
        <w:t xml:space="preserve"> a sostegno del territorio con una crescita pari al +8,79% </w:t>
      </w:r>
      <w:r w:rsidRPr="00EF4D65">
        <w:rPr>
          <w:rFonts w:ascii="Tahoma" w:eastAsia="Tahoma" w:hAnsi="Tahoma" w:cs="Tahoma"/>
          <w:sz w:val="20"/>
          <w:szCs w:val="20"/>
        </w:rPr>
        <w:lastRenderedPageBreak/>
        <w:t xml:space="preserve">(impieghi vivi +10,91%); positivo anche il quadro economico con il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 xml:space="preserve">margine da servizi </w:t>
      </w:r>
      <w:r w:rsidRPr="00EF4D65">
        <w:rPr>
          <w:rFonts w:ascii="Tahoma" w:eastAsia="Tahoma" w:hAnsi="Tahoma" w:cs="Tahoma"/>
          <w:sz w:val="20"/>
          <w:szCs w:val="20"/>
        </w:rPr>
        <w:t xml:space="preserve">a +9,85%.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Spese amministrative</w:t>
      </w:r>
      <w:r w:rsidRPr="00EF4D65">
        <w:rPr>
          <w:rFonts w:ascii="Tahoma" w:eastAsia="Tahoma" w:hAnsi="Tahoma" w:cs="Tahoma"/>
          <w:sz w:val="20"/>
          <w:szCs w:val="20"/>
        </w:rPr>
        <w:t xml:space="preserve"> ancora in contrazione dell’ 11,81%;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Npl ratio</w:t>
      </w:r>
      <w:r w:rsidRPr="00EF4D65">
        <w:rPr>
          <w:rFonts w:ascii="Tahoma" w:eastAsia="Tahoma" w:hAnsi="Tahoma" w:cs="Tahoma"/>
          <w:sz w:val="20"/>
          <w:szCs w:val="20"/>
        </w:rPr>
        <w:t xml:space="preserve"> 6,15% e </w:t>
      </w:r>
      <w:r w:rsidRPr="00087BFB">
        <w:rPr>
          <w:rFonts w:ascii="Tahoma" w:eastAsia="Tahoma" w:hAnsi="Tahoma" w:cs="Tahoma"/>
          <w:b/>
          <w:bCs/>
          <w:sz w:val="20"/>
          <w:szCs w:val="20"/>
        </w:rPr>
        <w:t>NPL netto</w:t>
      </w:r>
      <w:r w:rsidRPr="00EF4D65">
        <w:rPr>
          <w:rFonts w:ascii="Tahoma" w:eastAsia="Tahoma" w:hAnsi="Tahoma" w:cs="Tahoma"/>
          <w:sz w:val="20"/>
          <w:szCs w:val="20"/>
        </w:rPr>
        <w:t xml:space="preserve"> 2%.</w:t>
      </w:r>
    </w:p>
    <w:p w14:paraId="01AC7F64" w14:textId="77777777" w:rsidR="00087BFB" w:rsidRDefault="00087BFB" w:rsidP="00087BFB">
      <w:pPr>
        <w:jc w:val="both"/>
        <w:rPr>
          <w:rFonts w:ascii="Tahoma" w:eastAsia="Tahoma" w:hAnsi="Tahoma" w:cs="Tahoma"/>
        </w:rPr>
      </w:pPr>
    </w:p>
    <w:p w14:paraId="519FC0E5" w14:textId="77777777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i/>
          <w:sz w:val="20"/>
        </w:rPr>
        <w:t>---</w:t>
      </w:r>
    </w:p>
    <w:p w14:paraId="78B7F96A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44E861C0" w14:textId="77777777" w:rsidR="00087BFB" w:rsidRDefault="00087BFB" w:rsidP="00087BFB">
      <w:pPr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i/>
          <w:sz w:val="18"/>
        </w:rPr>
        <w:t xml:space="preserve">Ufficio Stampa </w:t>
      </w:r>
    </w:p>
    <w:p w14:paraId="21FAE189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30AB15FE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M. 3398399859</w:t>
      </w:r>
    </w:p>
    <w:p w14:paraId="434B2C39" w14:textId="1318EDAA" w:rsidR="00E94BC6" w:rsidRPr="00087BFB" w:rsidRDefault="00E94BC6" w:rsidP="00087BFB">
      <w:pPr>
        <w:rPr>
          <w:rFonts w:eastAsia="Tahoma"/>
        </w:rPr>
      </w:pPr>
    </w:p>
    <w:sectPr w:rsidR="00E94BC6" w:rsidRPr="00087BFB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1761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2797A"/>
    <w:rsid w:val="00230C71"/>
    <w:rsid w:val="00233BCF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87EDA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2AA0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D0165"/>
    <w:rsid w:val="005D1D89"/>
    <w:rsid w:val="005D2AC3"/>
    <w:rsid w:val="005E1449"/>
    <w:rsid w:val="005E17A5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35B"/>
    <w:rsid w:val="006B5503"/>
    <w:rsid w:val="006C3081"/>
    <w:rsid w:val="006C756B"/>
    <w:rsid w:val="006C75F6"/>
    <w:rsid w:val="006C7666"/>
    <w:rsid w:val="006D01B0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256D-E572-4061-A10C-D3B81C0C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2021-05-31T08:36:00Z</dcterms:created>
  <dcterms:modified xsi:type="dcterms:W3CDTF">2021-05-31T08:36:00Z</dcterms:modified>
</cp:coreProperties>
</file>